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96" w:rsidRDefault="00777A39" w:rsidP="00777A39">
      <w:pPr>
        <w:spacing w:line="240" w:lineRule="auto"/>
      </w:pPr>
      <w:r>
        <w:rPr>
          <w:noProof/>
        </w:rPr>
        <w:drawing>
          <wp:inline distT="0" distB="0" distL="0" distR="0">
            <wp:extent cx="2480832" cy="1111911"/>
            <wp:effectExtent l="19050" t="0" r="0" b="0"/>
            <wp:docPr id="1" name="Picture 1" descr="D:\File E\Ban tin DOVI\Ban tin so 63\20161031071023nghiencu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E\Ban tin DOVI\Ban tin so 63\20161031071023nghiencuu-png.png"/>
                    <pic:cNvPicPr>
                      <a:picLocks noChangeAspect="1" noChangeArrowheads="1"/>
                    </pic:cNvPicPr>
                  </pic:nvPicPr>
                  <pic:blipFill>
                    <a:blip r:embed="rId6" cstate="print"/>
                    <a:srcRect/>
                    <a:stretch>
                      <a:fillRect/>
                    </a:stretch>
                  </pic:blipFill>
                  <pic:spPr bwMode="auto">
                    <a:xfrm>
                      <a:off x="0" y="0"/>
                      <a:ext cx="2481944" cy="1112410"/>
                    </a:xfrm>
                    <a:prstGeom prst="rect">
                      <a:avLst/>
                    </a:prstGeom>
                    <a:noFill/>
                    <a:ln w="9525">
                      <a:noFill/>
                      <a:miter lim="800000"/>
                      <a:headEnd/>
                      <a:tailEnd/>
                    </a:ln>
                  </pic:spPr>
                </pic:pic>
              </a:graphicData>
            </a:graphic>
          </wp:inline>
        </w:drawing>
      </w:r>
    </w:p>
    <w:p w:rsidR="00777A39" w:rsidRDefault="00777A39" w:rsidP="00777A39">
      <w:pPr>
        <w:spacing w:line="240" w:lineRule="auto"/>
      </w:pPr>
    </w:p>
    <w:p w:rsidR="00777A39" w:rsidRPr="00777A39" w:rsidRDefault="00777A39" w:rsidP="00777A39">
      <w:pPr>
        <w:pStyle w:val="Heading1"/>
        <w:spacing w:before="230" w:beforeAutospacing="0" w:after="115" w:afterAutospacing="0"/>
        <w:rPr>
          <w:rFonts w:ascii="Arial" w:hAnsi="Arial" w:cs="Arial"/>
          <w:color w:val="003399"/>
          <w:sz w:val="24"/>
          <w:szCs w:val="17"/>
        </w:rPr>
      </w:pPr>
      <w:r w:rsidRPr="00777A39">
        <w:rPr>
          <w:rFonts w:ascii="Arial" w:hAnsi="Arial" w:cs="Arial"/>
          <w:color w:val="003399"/>
          <w:sz w:val="24"/>
          <w:szCs w:val="17"/>
        </w:rPr>
        <w:t>Phân lập tế bào gốc trung mô cuống rốn và hiện tượng dương tính gene CD34</w:t>
      </w:r>
    </w:p>
    <w:p w:rsidR="00777A39" w:rsidRDefault="00777A39" w:rsidP="00777A39">
      <w:pPr>
        <w:pStyle w:val="NormalWeb"/>
        <w:spacing w:before="0" w:beforeAutospacing="0" w:after="115" w:afterAutospacing="0"/>
        <w:jc w:val="right"/>
        <w:rPr>
          <w:rFonts w:ascii="Arial" w:hAnsi="Arial" w:cs="Arial"/>
          <w:color w:val="333333"/>
          <w:sz w:val="15"/>
          <w:szCs w:val="15"/>
        </w:rPr>
      </w:pPr>
      <w:r>
        <w:rPr>
          <w:rStyle w:val="Strong"/>
          <w:rFonts w:ascii="Arial" w:hAnsi="Arial" w:cs="Arial"/>
          <w:color w:val="333333"/>
          <w:sz w:val="15"/>
          <w:szCs w:val="15"/>
        </w:rPr>
        <w:t>Nguyễn Văn Hạnh</w:t>
      </w:r>
      <w:r>
        <w:rPr>
          <w:rStyle w:val="Strong"/>
          <w:rFonts w:ascii="Arial" w:hAnsi="Arial" w:cs="Arial"/>
          <w:color w:val="333333"/>
          <w:sz w:val="11"/>
          <w:szCs w:val="11"/>
          <w:vertAlign w:val="superscript"/>
        </w:rPr>
        <w:t>1,</w:t>
      </w:r>
      <w:r>
        <w:rPr>
          <w:rStyle w:val="apple-converted-space"/>
          <w:rFonts w:ascii="Arial" w:hAnsi="Arial" w:cs="Arial"/>
          <w:b/>
          <w:bCs/>
          <w:color w:val="333333"/>
          <w:sz w:val="11"/>
          <w:szCs w:val="11"/>
          <w:vertAlign w:val="superscript"/>
        </w:rPr>
        <w:t> </w:t>
      </w:r>
      <w:r>
        <w:rPr>
          <w:rStyle w:val="Strong"/>
          <w:rFonts w:ascii="Arial" w:hAnsi="Arial" w:cs="Arial"/>
          <w:color w:val="333333"/>
          <w:sz w:val="15"/>
          <w:szCs w:val="15"/>
        </w:rPr>
        <w:t>Nguyễn Thanh Ngà</w:t>
      </w:r>
      <w:r>
        <w:rPr>
          <w:rStyle w:val="Strong"/>
          <w:rFonts w:ascii="Arial" w:hAnsi="Arial" w:cs="Arial"/>
          <w:color w:val="333333"/>
          <w:sz w:val="11"/>
          <w:szCs w:val="11"/>
          <w:vertAlign w:val="superscript"/>
        </w:rPr>
        <w:t>1</w:t>
      </w:r>
      <w:r>
        <w:rPr>
          <w:rStyle w:val="Strong"/>
          <w:rFonts w:ascii="Arial" w:hAnsi="Arial" w:cs="Arial"/>
          <w:color w:val="333333"/>
          <w:sz w:val="15"/>
          <w:szCs w:val="15"/>
        </w:rPr>
        <w:t xml:space="preserve">, </w:t>
      </w:r>
      <w:proofErr w:type="gramStart"/>
      <w:r>
        <w:rPr>
          <w:rStyle w:val="Strong"/>
          <w:rFonts w:ascii="Arial" w:hAnsi="Arial" w:cs="Arial"/>
          <w:color w:val="333333"/>
          <w:sz w:val="15"/>
          <w:szCs w:val="15"/>
        </w:rPr>
        <w:t>Vi</w:t>
      </w:r>
      <w:proofErr w:type="gramEnd"/>
      <w:r>
        <w:rPr>
          <w:rStyle w:val="Strong"/>
          <w:rFonts w:ascii="Arial" w:hAnsi="Arial" w:cs="Arial"/>
          <w:color w:val="333333"/>
          <w:sz w:val="15"/>
          <w:szCs w:val="15"/>
        </w:rPr>
        <w:t xml:space="preserve"> Đại Lâm</w:t>
      </w:r>
      <w:r>
        <w:rPr>
          <w:rStyle w:val="Strong"/>
          <w:rFonts w:ascii="Arial" w:hAnsi="Arial" w:cs="Arial"/>
          <w:color w:val="333333"/>
          <w:sz w:val="11"/>
          <w:szCs w:val="11"/>
          <w:vertAlign w:val="superscript"/>
        </w:rPr>
        <w:t>2</w:t>
      </w:r>
      <w:r>
        <w:rPr>
          <w:rStyle w:val="Strong"/>
          <w:rFonts w:ascii="Arial" w:hAnsi="Arial" w:cs="Arial"/>
          <w:color w:val="333333"/>
          <w:sz w:val="15"/>
          <w:szCs w:val="15"/>
        </w:rPr>
        <w:t>, Phạm Thị Hải</w:t>
      </w:r>
      <w:r>
        <w:rPr>
          <w:rStyle w:val="Strong"/>
          <w:rFonts w:ascii="Arial" w:hAnsi="Arial" w:cs="Arial"/>
          <w:color w:val="333333"/>
          <w:sz w:val="11"/>
          <w:szCs w:val="11"/>
          <w:vertAlign w:val="superscript"/>
        </w:rPr>
        <w:t>1</w:t>
      </w:r>
    </w:p>
    <w:p w:rsidR="00777A39" w:rsidRDefault="00777A39" w:rsidP="00777A39">
      <w:pPr>
        <w:pStyle w:val="NormalWeb"/>
        <w:spacing w:before="0" w:beforeAutospacing="0" w:after="115" w:afterAutospacing="0"/>
        <w:jc w:val="right"/>
        <w:rPr>
          <w:rFonts w:ascii="Arial" w:hAnsi="Arial" w:cs="Arial"/>
          <w:color w:val="333333"/>
          <w:sz w:val="15"/>
          <w:szCs w:val="15"/>
        </w:rPr>
      </w:pPr>
      <w:r>
        <w:rPr>
          <w:rStyle w:val="Emphasis"/>
          <w:rFonts w:ascii="Arial" w:hAnsi="Arial" w:cs="Arial"/>
          <w:color w:val="333333"/>
          <w:sz w:val="11"/>
          <w:szCs w:val="11"/>
          <w:vertAlign w:val="superscript"/>
        </w:rPr>
        <w:t>1</w:t>
      </w:r>
      <w:r>
        <w:rPr>
          <w:rStyle w:val="Emphasis"/>
          <w:rFonts w:ascii="Arial" w:hAnsi="Arial" w:cs="Arial"/>
          <w:color w:val="333333"/>
          <w:sz w:val="15"/>
          <w:szCs w:val="15"/>
        </w:rPr>
        <w:t>Viện Công nghệ Sinh học, Viện Hàn lâm Khoa học và Công nghệ Việt Nam</w:t>
      </w:r>
    </w:p>
    <w:p w:rsidR="00777A39" w:rsidRDefault="00777A39" w:rsidP="00777A39">
      <w:pPr>
        <w:pStyle w:val="NormalWeb"/>
        <w:spacing w:before="0" w:beforeAutospacing="0" w:after="115" w:afterAutospacing="0"/>
        <w:jc w:val="right"/>
        <w:rPr>
          <w:rFonts w:ascii="Arial" w:hAnsi="Arial" w:cs="Arial"/>
          <w:color w:val="333333"/>
          <w:sz w:val="15"/>
          <w:szCs w:val="15"/>
        </w:rPr>
      </w:pPr>
      <w:r>
        <w:rPr>
          <w:rStyle w:val="Emphasis"/>
          <w:rFonts w:ascii="Arial" w:hAnsi="Arial" w:cs="Arial"/>
          <w:color w:val="333333"/>
          <w:sz w:val="11"/>
          <w:szCs w:val="11"/>
          <w:vertAlign w:val="superscript"/>
        </w:rPr>
        <w:t>2</w:t>
      </w:r>
      <w:r>
        <w:rPr>
          <w:rStyle w:val="apple-converted-space"/>
          <w:rFonts w:ascii="Arial" w:hAnsi="Arial" w:cs="Arial"/>
          <w:i/>
          <w:iCs/>
          <w:color w:val="333333"/>
          <w:sz w:val="15"/>
          <w:szCs w:val="15"/>
        </w:rPr>
        <w:t> </w:t>
      </w:r>
      <w:r>
        <w:rPr>
          <w:rStyle w:val="Emphasis"/>
          <w:rFonts w:ascii="Arial" w:hAnsi="Arial" w:cs="Arial"/>
          <w:color w:val="333333"/>
          <w:sz w:val="15"/>
          <w:szCs w:val="15"/>
        </w:rPr>
        <w:t>Khoa Công nghệ Sinh học- Công nghệ thực phẩm, ĐH Nông Lâm Thái Nguyên</w:t>
      </w:r>
    </w:p>
    <w:p w:rsidR="00777A39" w:rsidRDefault="00777A39" w:rsidP="00777A39">
      <w:pPr>
        <w:pStyle w:val="NormalWeb"/>
        <w:spacing w:before="0" w:beforeAutospacing="0" w:after="115" w:afterAutospacing="0"/>
        <w:jc w:val="right"/>
        <w:rPr>
          <w:rFonts w:ascii="Arial" w:hAnsi="Arial" w:cs="Arial"/>
          <w:color w:val="333333"/>
          <w:sz w:val="15"/>
          <w:szCs w:val="15"/>
        </w:rPr>
      </w:pPr>
      <w:r>
        <w:rPr>
          <w:rStyle w:val="Emphasis"/>
          <w:rFonts w:ascii="Arial" w:hAnsi="Arial" w:cs="Arial"/>
          <w:color w:val="333333"/>
          <w:sz w:val="15"/>
          <w:szCs w:val="15"/>
        </w:rPr>
        <w:t>Liên lạc tác giả:</w:t>
      </w:r>
      <w:r>
        <w:rPr>
          <w:rStyle w:val="apple-converted-space"/>
          <w:rFonts w:ascii="Arial" w:hAnsi="Arial" w:cs="Arial"/>
          <w:i/>
          <w:iCs/>
          <w:color w:val="333333"/>
          <w:sz w:val="15"/>
          <w:szCs w:val="15"/>
        </w:rPr>
        <w:t> </w:t>
      </w:r>
      <w:hyperlink r:id="rId7" w:history="1">
        <w:r>
          <w:rPr>
            <w:rStyle w:val="Emphasis"/>
            <w:rFonts w:ascii="Arial" w:hAnsi="Arial" w:cs="Arial"/>
            <w:color w:val="000000"/>
            <w:sz w:val="15"/>
            <w:szCs w:val="15"/>
          </w:rPr>
          <w:t>hanhcnp@yahoo.com</w:t>
        </w:r>
      </w:hyperlink>
      <w:r>
        <w:rPr>
          <w:rStyle w:val="apple-converted-space"/>
          <w:rFonts w:ascii="Arial" w:hAnsi="Arial" w:cs="Arial"/>
          <w:i/>
          <w:iCs/>
          <w:color w:val="333333"/>
          <w:sz w:val="15"/>
          <w:szCs w:val="15"/>
        </w:rPr>
        <w:t> </w:t>
      </w:r>
      <w:r>
        <w:rPr>
          <w:rStyle w:val="Emphasis"/>
          <w:rFonts w:ascii="Arial" w:hAnsi="Arial" w:cs="Arial"/>
          <w:color w:val="333333"/>
          <w:sz w:val="15"/>
          <w:szCs w:val="15"/>
        </w:rPr>
        <w:t>hoặc</w:t>
      </w:r>
      <w:r>
        <w:rPr>
          <w:rStyle w:val="apple-converted-space"/>
          <w:rFonts w:ascii="Arial" w:hAnsi="Arial" w:cs="Arial"/>
          <w:i/>
          <w:iCs/>
          <w:color w:val="333333"/>
          <w:sz w:val="15"/>
          <w:szCs w:val="15"/>
        </w:rPr>
        <w:t> </w:t>
      </w:r>
      <w:hyperlink r:id="rId8" w:history="1">
        <w:r>
          <w:rPr>
            <w:rStyle w:val="Emphasis"/>
            <w:rFonts w:ascii="Arial" w:hAnsi="Arial" w:cs="Arial"/>
            <w:color w:val="000000"/>
            <w:sz w:val="15"/>
            <w:szCs w:val="15"/>
          </w:rPr>
          <w:t>vilamcns@gmail.com</w:t>
        </w:r>
      </w:hyperlink>
    </w:p>
    <w:p w:rsidR="00777A39" w:rsidRDefault="00777A39" w:rsidP="00777A39">
      <w:pPr>
        <w:pStyle w:val="NormalWeb"/>
        <w:spacing w:before="0" w:beforeAutospacing="0" w:after="115" w:afterAutospacing="0"/>
        <w:ind w:left="567" w:hanging="567"/>
        <w:jc w:val="both"/>
        <w:rPr>
          <w:rFonts w:ascii="Arial" w:hAnsi="Arial" w:cs="Arial"/>
          <w:color w:val="333333"/>
          <w:sz w:val="15"/>
          <w:szCs w:val="15"/>
        </w:rPr>
      </w:pPr>
      <w:r>
        <w:rPr>
          <w:rStyle w:val="Strong"/>
          <w:rFonts w:ascii="Arial" w:hAnsi="Arial" w:cs="Arial"/>
          <w:color w:val="333333"/>
          <w:sz w:val="15"/>
          <w:szCs w:val="15"/>
        </w:rPr>
        <w:t>TÓM TẮT</w:t>
      </w:r>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 xml:space="preserve">Tế bào gốc trung mô cuống rốn hiện nay đang được quan tâm, nghiên cứu để phục vụ cho việc điều trị nhiều căn bệnh nguy hiểm như: Ung </w:t>
      </w:r>
      <w:proofErr w:type="gramStart"/>
      <w:r>
        <w:rPr>
          <w:rFonts w:ascii="Arial" w:hAnsi="Arial" w:cs="Arial"/>
          <w:color w:val="333333"/>
          <w:sz w:val="15"/>
          <w:szCs w:val="15"/>
        </w:rPr>
        <w:t>thư</w:t>
      </w:r>
      <w:proofErr w:type="gramEnd"/>
      <w:r>
        <w:rPr>
          <w:rFonts w:ascii="Arial" w:hAnsi="Arial" w:cs="Arial"/>
          <w:color w:val="333333"/>
          <w:sz w:val="15"/>
          <w:szCs w:val="15"/>
        </w:rPr>
        <w:t xml:space="preserve">, vô sinh, gan, tiểu đường hay các rối loạn di truyền khác. Trong nghiên cứu này, tế bào gốc trung mô sẽ được phân lập từ cuống rốn </w:t>
      </w:r>
      <w:proofErr w:type="gramStart"/>
      <w:r>
        <w:rPr>
          <w:rFonts w:ascii="Arial" w:hAnsi="Arial" w:cs="Arial"/>
          <w:color w:val="333333"/>
          <w:sz w:val="15"/>
          <w:szCs w:val="15"/>
        </w:rPr>
        <w:t>để  kích</w:t>
      </w:r>
      <w:proofErr w:type="gramEnd"/>
      <w:r>
        <w:rPr>
          <w:rFonts w:ascii="Arial" w:hAnsi="Arial" w:cs="Arial"/>
          <w:color w:val="333333"/>
          <w:sz w:val="15"/>
          <w:szCs w:val="15"/>
        </w:rPr>
        <w:t xml:space="preserve"> thích biệt hóa theo hướng tạo tế bào gan bằng nhiều kỹ thuật khác nhau như chuyển gene, cảm ứng biệt hóa có định hướng bằng hóa chất, dịch chiết thảo dược (kết quả không công bố). Quá trình phân lập đã </w:t>
      </w:r>
      <w:proofErr w:type="gramStart"/>
      <w:r>
        <w:rPr>
          <w:rFonts w:ascii="Arial" w:hAnsi="Arial" w:cs="Arial"/>
          <w:color w:val="333333"/>
          <w:sz w:val="15"/>
          <w:szCs w:val="15"/>
        </w:rPr>
        <w:t>thu</w:t>
      </w:r>
      <w:proofErr w:type="gramEnd"/>
      <w:r>
        <w:rPr>
          <w:rFonts w:ascii="Arial" w:hAnsi="Arial" w:cs="Arial"/>
          <w:color w:val="333333"/>
          <w:sz w:val="15"/>
          <w:szCs w:val="15"/>
        </w:rPr>
        <w:t xml:space="preserve"> được các tế bào cuống rốn biểu hiện các gene đặc hiệu cho tế bào gốc trung mô (SH2, SH3) và các marker khác như:  c-kit, oct-4, Tra-1, NSE, nestin, enolase, marker integrin (CD29-CD51). </w:t>
      </w:r>
      <w:proofErr w:type="gramStart"/>
      <w:r>
        <w:rPr>
          <w:rFonts w:ascii="Arial" w:hAnsi="Arial" w:cs="Arial"/>
          <w:color w:val="333333"/>
          <w:sz w:val="15"/>
          <w:szCs w:val="15"/>
        </w:rPr>
        <w:t>Kiểu nhân của các tế bào không có những thay đổi về mặt hình thái, số lượng nhiễm sắc thể sau mỗi lần cấy truyền.</w:t>
      </w:r>
      <w:proofErr w:type="gramEnd"/>
      <w:r>
        <w:rPr>
          <w:rFonts w:ascii="Arial" w:hAnsi="Arial" w:cs="Arial"/>
          <w:color w:val="333333"/>
          <w:sz w:val="15"/>
          <w:szCs w:val="15"/>
        </w:rPr>
        <w:t xml:space="preserve"> </w:t>
      </w:r>
      <w:proofErr w:type="gramStart"/>
      <w:r>
        <w:rPr>
          <w:rFonts w:ascii="Arial" w:hAnsi="Arial" w:cs="Arial"/>
          <w:color w:val="333333"/>
          <w:sz w:val="15"/>
          <w:szCs w:val="15"/>
        </w:rPr>
        <w:t>Những tế bào gốc này cũng có kết quả dương tính với gene CD34, 1 marker của tế bào máu.</w:t>
      </w:r>
      <w:proofErr w:type="gramEnd"/>
      <w:r>
        <w:rPr>
          <w:rFonts w:ascii="Arial" w:hAnsi="Arial" w:cs="Arial"/>
          <w:color w:val="333333"/>
          <w:sz w:val="15"/>
          <w:szCs w:val="15"/>
        </w:rPr>
        <w:t xml:space="preserve"> </w:t>
      </w:r>
      <w:proofErr w:type="gramStart"/>
      <w:r>
        <w:rPr>
          <w:rFonts w:ascii="Arial" w:hAnsi="Arial" w:cs="Arial"/>
          <w:color w:val="333333"/>
          <w:sz w:val="15"/>
          <w:szCs w:val="15"/>
        </w:rPr>
        <w:t>Marker này biểu hiện bền vững sau hơn 20 lần cấy truyền.</w:t>
      </w:r>
      <w:proofErr w:type="gramEnd"/>
      <w:r>
        <w:rPr>
          <w:rFonts w:ascii="Arial" w:hAnsi="Arial" w:cs="Arial"/>
          <w:color w:val="333333"/>
          <w:sz w:val="15"/>
          <w:szCs w:val="15"/>
        </w:rPr>
        <w:t xml:space="preserve"> </w:t>
      </w:r>
      <w:proofErr w:type="gramStart"/>
      <w:r>
        <w:rPr>
          <w:rFonts w:ascii="Arial" w:hAnsi="Arial" w:cs="Arial"/>
          <w:color w:val="333333"/>
          <w:sz w:val="15"/>
          <w:szCs w:val="15"/>
        </w:rPr>
        <w:t>Điều này hoàn toàn khác so với hầu hết các báo cáo về phân lập tế bào gốc trung mô trước đó ở Việt Nam cũng như trên thế giới.</w:t>
      </w:r>
      <w:proofErr w:type="gramEnd"/>
      <w:r>
        <w:rPr>
          <w:rFonts w:ascii="Arial" w:hAnsi="Arial" w:cs="Arial"/>
          <w:color w:val="333333"/>
          <w:sz w:val="15"/>
          <w:szCs w:val="15"/>
        </w:rPr>
        <w:t xml:space="preserve">  </w:t>
      </w:r>
    </w:p>
    <w:p w:rsidR="00777A39" w:rsidRDefault="00777A39" w:rsidP="00777A39">
      <w:pPr>
        <w:pStyle w:val="NormalWeb"/>
        <w:spacing w:before="0" w:beforeAutospacing="0" w:after="115" w:afterAutospacing="0"/>
        <w:jc w:val="both"/>
        <w:rPr>
          <w:rFonts w:ascii="Arial" w:hAnsi="Arial" w:cs="Arial"/>
          <w:color w:val="333333"/>
          <w:sz w:val="15"/>
          <w:szCs w:val="15"/>
        </w:rPr>
      </w:pPr>
      <w:r>
        <w:rPr>
          <w:rStyle w:val="Strong"/>
          <w:rFonts w:ascii="Arial" w:hAnsi="Arial" w:cs="Arial"/>
          <w:color w:val="333333"/>
          <w:sz w:val="15"/>
          <w:szCs w:val="15"/>
        </w:rPr>
        <w:t>Từ khóa</w:t>
      </w:r>
      <w:r>
        <w:rPr>
          <w:rFonts w:ascii="Arial" w:hAnsi="Arial" w:cs="Arial"/>
          <w:color w:val="333333"/>
          <w:sz w:val="15"/>
          <w:szCs w:val="15"/>
        </w:rPr>
        <w:t>: Tế bào gốc trung mô, cuống rốn, phân lập, biệt hóa, marker, CD34.</w:t>
      </w:r>
    </w:p>
    <w:p w:rsidR="00777A39" w:rsidRDefault="00777A39" w:rsidP="00777A39">
      <w:pPr>
        <w:pStyle w:val="NormalWeb"/>
        <w:spacing w:before="0" w:beforeAutospacing="0" w:after="115" w:afterAutospacing="0"/>
        <w:jc w:val="both"/>
        <w:rPr>
          <w:rFonts w:ascii="Arial" w:hAnsi="Arial" w:cs="Arial"/>
          <w:color w:val="333333"/>
          <w:sz w:val="15"/>
          <w:szCs w:val="15"/>
        </w:rPr>
      </w:pPr>
      <w:r>
        <w:rPr>
          <w:rStyle w:val="Strong"/>
          <w:rFonts w:ascii="Arial" w:hAnsi="Arial" w:cs="Arial"/>
          <w:color w:val="333333"/>
          <w:sz w:val="15"/>
          <w:szCs w:val="15"/>
        </w:rPr>
        <w:t>GIỚI THIỆU</w:t>
      </w:r>
    </w:p>
    <w:p w:rsidR="00777A39" w:rsidRDefault="00777A39" w:rsidP="00777A39">
      <w:pPr>
        <w:pStyle w:val="NormalWeb"/>
        <w:spacing w:before="0" w:beforeAutospacing="0" w:after="115" w:afterAutospacing="0"/>
        <w:jc w:val="both"/>
        <w:rPr>
          <w:rFonts w:ascii="Arial" w:hAnsi="Arial" w:cs="Arial"/>
          <w:color w:val="333333"/>
          <w:sz w:val="15"/>
          <w:szCs w:val="15"/>
        </w:rPr>
      </w:pPr>
      <w:proofErr w:type="gramStart"/>
      <w:r>
        <w:rPr>
          <w:rFonts w:ascii="Arial" w:hAnsi="Arial" w:cs="Arial"/>
          <w:color w:val="333333"/>
          <w:sz w:val="15"/>
          <w:szCs w:val="15"/>
        </w:rPr>
        <w:t>Tế bào gốc là nguồn gốc của tất cả các dạng tế bào có chức năng chuyên biệt trong cơ thể.</w:t>
      </w:r>
      <w:proofErr w:type="gramEnd"/>
      <w:r>
        <w:rPr>
          <w:rFonts w:ascii="Arial" w:hAnsi="Arial" w:cs="Arial"/>
          <w:color w:val="333333"/>
          <w:sz w:val="15"/>
          <w:szCs w:val="15"/>
        </w:rPr>
        <w:t xml:space="preserve"> </w:t>
      </w:r>
      <w:proofErr w:type="gramStart"/>
      <w:r>
        <w:rPr>
          <w:rFonts w:ascii="Arial" w:hAnsi="Arial" w:cs="Arial"/>
          <w:color w:val="333333"/>
          <w:sz w:val="15"/>
          <w:szCs w:val="15"/>
        </w:rPr>
        <w:t>Đặc trưng của tế bào gốc là khả năng biệt hóa và tự làm mới.</w:t>
      </w:r>
      <w:proofErr w:type="gramEnd"/>
      <w:r>
        <w:rPr>
          <w:rFonts w:ascii="Arial" w:hAnsi="Arial" w:cs="Arial"/>
          <w:color w:val="333333"/>
          <w:sz w:val="15"/>
          <w:szCs w:val="15"/>
        </w:rPr>
        <w:t xml:space="preserve"> </w:t>
      </w:r>
      <w:proofErr w:type="gramStart"/>
      <w:r>
        <w:rPr>
          <w:rFonts w:ascii="Arial" w:hAnsi="Arial" w:cs="Arial"/>
          <w:color w:val="333333"/>
          <w:sz w:val="15"/>
          <w:szCs w:val="15"/>
        </w:rPr>
        <w:t>Nhờ những khả năng này chỉ một tế bào gốc hợp tử, có thể tạo ra một cơ thể hoàn chỉnh với hàng trăm loại tế bào chuyên hóa cho tất cả các hoạt động sống.</w:t>
      </w:r>
      <w:proofErr w:type="gramEnd"/>
      <w:r>
        <w:rPr>
          <w:rFonts w:ascii="Arial" w:hAnsi="Arial" w:cs="Arial"/>
          <w:color w:val="333333"/>
          <w:sz w:val="15"/>
          <w:szCs w:val="15"/>
        </w:rPr>
        <w:t xml:space="preserve"> </w:t>
      </w:r>
      <w:proofErr w:type="gramStart"/>
      <w:r>
        <w:rPr>
          <w:rFonts w:ascii="Arial" w:hAnsi="Arial" w:cs="Arial"/>
          <w:color w:val="333333"/>
          <w:sz w:val="15"/>
          <w:szCs w:val="15"/>
        </w:rPr>
        <w:t>Khả năng tự làm mới là khả năng tạo ra một bản sao của chính mình trong quá trình phân chia.</w:t>
      </w:r>
      <w:proofErr w:type="gramEnd"/>
      <w:r>
        <w:rPr>
          <w:rFonts w:ascii="Arial" w:hAnsi="Arial" w:cs="Arial"/>
          <w:color w:val="333333"/>
          <w:sz w:val="15"/>
          <w:szCs w:val="15"/>
        </w:rPr>
        <w:t xml:space="preserve"> </w:t>
      </w:r>
      <w:proofErr w:type="gramStart"/>
      <w:r>
        <w:rPr>
          <w:rFonts w:ascii="Arial" w:hAnsi="Arial" w:cs="Arial"/>
          <w:color w:val="333333"/>
          <w:sz w:val="15"/>
          <w:szCs w:val="15"/>
        </w:rPr>
        <w:t>Nhờ vậy, số lượng tế bào gốc trong cơ thể không bị giảm sút khi tế bào gốc nguyên phân và biệt hóa.</w:t>
      </w:r>
      <w:proofErr w:type="gramEnd"/>
      <w:r>
        <w:rPr>
          <w:rFonts w:ascii="Arial" w:hAnsi="Arial" w:cs="Arial"/>
          <w:color w:val="333333"/>
          <w:sz w:val="15"/>
          <w:szCs w:val="15"/>
        </w:rPr>
        <w:t xml:space="preserve"> </w:t>
      </w:r>
      <w:proofErr w:type="gramStart"/>
      <w:r>
        <w:rPr>
          <w:rFonts w:ascii="Arial" w:hAnsi="Arial" w:cs="Arial"/>
          <w:color w:val="333333"/>
          <w:sz w:val="15"/>
          <w:szCs w:val="15"/>
        </w:rPr>
        <w:t>Số lượng tế bào gốc trong các mô và cơ quan trong cơ thể không nhiều, nhờ tính tự làm mới, chúng đủ khả năng cung cấp bổ xung các tế bào mới trong cả đời sống của cá thể.</w:t>
      </w:r>
      <w:proofErr w:type="gramEnd"/>
      <w:r>
        <w:rPr>
          <w:rFonts w:ascii="Arial" w:hAnsi="Arial" w:cs="Arial"/>
          <w:color w:val="333333"/>
          <w:sz w:val="15"/>
          <w:szCs w:val="15"/>
        </w:rPr>
        <w:t xml:space="preserve"> </w:t>
      </w:r>
      <w:proofErr w:type="gramStart"/>
      <w:r>
        <w:rPr>
          <w:rFonts w:ascii="Arial" w:hAnsi="Arial" w:cs="Arial"/>
          <w:color w:val="333333"/>
          <w:sz w:val="15"/>
          <w:szCs w:val="15"/>
        </w:rPr>
        <w:t>Khả năng biệt hóa là khả năng biến đổi thành các tế bào chuyên hóa của tế bào gốc.</w:t>
      </w:r>
      <w:proofErr w:type="gramEnd"/>
      <w:r>
        <w:rPr>
          <w:rFonts w:ascii="Arial" w:hAnsi="Arial" w:cs="Arial"/>
          <w:color w:val="333333"/>
          <w:sz w:val="15"/>
          <w:szCs w:val="15"/>
        </w:rPr>
        <w:t xml:space="preserve"> </w:t>
      </w:r>
      <w:proofErr w:type="gramStart"/>
      <w:r>
        <w:rPr>
          <w:rFonts w:ascii="Arial" w:hAnsi="Arial" w:cs="Arial"/>
          <w:color w:val="333333"/>
          <w:sz w:val="15"/>
          <w:szCs w:val="15"/>
        </w:rPr>
        <w:t>Các tế bào gốc khác nhau thì khả năng biệt hóa khác nhau.</w:t>
      </w:r>
      <w:proofErr w:type="gramEnd"/>
      <w:r>
        <w:rPr>
          <w:rFonts w:ascii="Arial" w:hAnsi="Arial" w:cs="Arial"/>
          <w:color w:val="333333"/>
          <w:sz w:val="15"/>
          <w:szCs w:val="15"/>
        </w:rPr>
        <w:t xml:space="preserve"> </w:t>
      </w:r>
      <w:proofErr w:type="gramStart"/>
      <w:r>
        <w:rPr>
          <w:rFonts w:ascii="Arial" w:hAnsi="Arial" w:cs="Arial"/>
          <w:color w:val="333333"/>
          <w:sz w:val="15"/>
          <w:szCs w:val="15"/>
        </w:rPr>
        <w:t>Tại các giai đoạn phát triển khác, cơ thể người và động vật sẽ có các quần thể tế bào gốc khác nhau như tế bào gốc phôi, tế bào gốc trưởng thành.</w:t>
      </w:r>
      <w:proofErr w:type="gramEnd"/>
      <w:r>
        <w:rPr>
          <w:rFonts w:ascii="Arial" w:hAnsi="Arial" w:cs="Arial"/>
          <w:color w:val="333333"/>
          <w:sz w:val="15"/>
          <w:szCs w:val="15"/>
        </w:rPr>
        <w:t xml:space="preserve"> </w:t>
      </w:r>
      <w:proofErr w:type="gramStart"/>
      <w:r>
        <w:rPr>
          <w:rFonts w:ascii="Arial" w:hAnsi="Arial" w:cs="Arial"/>
          <w:color w:val="333333"/>
          <w:sz w:val="15"/>
          <w:szCs w:val="15"/>
        </w:rPr>
        <w:t>Các tế bào gốc này có thể biệt hóa thành một số dòng tế bào hoặc hầu hết các tế bào của cơ thể.</w:t>
      </w:r>
      <w:proofErr w:type="gramEnd"/>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noProof/>
          <w:color w:val="333333"/>
          <w:sz w:val="15"/>
          <w:szCs w:val="15"/>
        </w:rPr>
        <w:drawing>
          <wp:anchor distT="0" distB="0" distL="114300" distR="114300" simplePos="0" relativeHeight="251658240" behindDoc="0" locked="0" layoutInCell="1" allowOverlap="1">
            <wp:simplePos x="0" y="0"/>
            <wp:positionH relativeFrom="column">
              <wp:posOffset>4269740</wp:posOffset>
            </wp:positionH>
            <wp:positionV relativeFrom="paragraph">
              <wp:posOffset>732790</wp:posOffset>
            </wp:positionV>
            <wp:extent cx="2586990" cy="1543050"/>
            <wp:effectExtent l="19050" t="0" r="3810" b="0"/>
            <wp:wrapSquare wrapText="bothSides"/>
            <wp:docPr id="9" name="Picture 2" descr="http://tuaf.edu.vn/gallery/images/K.%20CNSH%20-%20CNTP/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af.edu.vn/gallery/images/K.%20CNSH%20-%20CNTP/1(22).jpg"/>
                    <pic:cNvPicPr>
                      <a:picLocks noChangeAspect="1" noChangeArrowheads="1"/>
                    </pic:cNvPicPr>
                  </pic:nvPicPr>
                  <pic:blipFill>
                    <a:blip r:embed="rId9" cstate="print"/>
                    <a:srcRect/>
                    <a:stretch>
                      <a:fillRect/>
                    </a:stretch>
                  </pic:blipFill>
                  <pic:spPr bwMode="auto">
                    <a:xfrm>
                      <a:off x="0" y="0"/>
                      <a:ext cx="2586990" cy="1543050"/>
                    </a:xfrm>
                    <a:prstGeom prst="rect">
                      <a:avLst/>
                    </a:prstGeom>
                    <a:noFill/>
                    <a:ln w="9525">
                      <a:noFill/>
                      <a:miter lim="800000"/>
                      <a:headEnd/>
                      <a:tailEnd/>
                    </a:ln>
                  </pic:spPr>
                </pic:pic>
              </a:graphicData>
            </a:graphic>
          </wp:anchor>
        </w:drawing>
      </w:r>
      <w:proofErr w:type="gramStart"/>
      <w:r>
        <w:rPr>
          <w:rFonts w:ascii="Arial" w:hAnsi="Arial" w:cs="Arial"/>
          <w:color w:val="333333"/>
          <w:sz w:val="15"/>
          <w:szCs w:val="15"/>
        </w:rPr>
        <w:t>Tế bào gốc trung mô (MSCs) được phân lập đầu tiên bởi Friedenstein từ tủy xương.</w:t>
      </w:r>
      <w:proofErr w:type="gramEnd"/>
      <w:r>
        <w:rPr>
          <w:rFonts w:ascii="Arial" w:hAnsi="Arial" w:cs="Arial"/>
          <w:color w:val="333333"/>
          <w:sz w:val="15"/>
          <w:szCs w:val="15"/>
        </w:rPr>
        <w:t xml:space="preserve">  </w:t>
      </w:r>
      <w:proofErr w:type="gramStart"/>
      <w:r>
        <w:rPr>
          <w:rFonts w:ascii="Arial" w:hAnsi="Arial" w:cs="Arial"/>
          <w:color w:val="333333"/>
          <w:sz w:val="15"/>
          <w:szCs w:val="15"/>
        </w:rPr>
        <w:t>Hàm lượng trong tủy xương của chúng rất nhỏ (&lt; 0.1%) tuy nhiên trong điều kiện nuôi cấy của phòng thí nghiệm, chúng có thể đạt tới số lượng hàng triệu tế bào chỉ trong vài lần cấy truyền.</w:t>
      </w:r>
      <w:proofErr w:type="gramEnd"/>
      <w:r>
        <w:rPr>
          <w:rFonts w:ascii="Arial" w:hAnsi="Arial" w:cs="Arial"/>
          <w:color w:val="333333"/>
          <w:sz w:val="15"/>
          <w:szCs w:val="15"/>
        </w:rPr>
        <w:t xml:space="preserve">  </w:t>
      </w:r>
      <w:proofErr w:type="gramStart"/>
      <w:r>
        <w:rPr>
          <w:rFonts w:ascii="Arial" w:hAnsi="Arial" w:cs="Arial"/>
          <w:color w:val="333333"/>
          <w:sz w:val="15"/>
          <w:szCs w:val="15"/>
        </w:rPr>
        <w:t>Chúng có dạng như các nguyên bào sợi, dạng thuôn dài, bám dính (</w:t>
      </w:r>
      <w:hyperlink r:id="rId10" w:anchor="_ENREF_6" w:tooltip="Friedenstein AJ, 1968 #28" w:history="1">
        <w:r>
          <w:rPr>
            <w:rStyle w:val="Hyperlink"/>
            <w:rFonts w:ascii="Arial" w:hAnsi="Arial" w:cs="Arial"/>
            <w:color w:val="000000"/>
            <w:sz w:val="15"/>
            <w:szCs w:val="15"/>
          </w:rPr>
          <w:t>Friedenstein AJ 1968</w:t>
        </w:r>
      </w:hyperlink>
      <w:r>
        <w:rPr>
          <w:rFonts w:ascii="Arial" w:hAnsi="Arial" w:cs="Arial"/>
          <w:color w:val="333333"/>
          <w:sz w:val="15"/>
          <w:szCs w:val="15"/>
        </w:rPr>
        <w:t>) (Hình 1).</w:t>
      </w:r>
      <w:proofErr w:type="gramEnd"/>
      <w:r>
        <w:rPr>
          <w:rFonts w:ascii="Arial" w:hAnsi="Arial" w:cs="Arial"/>
          <w:color w:val="333333"/>
          <w:sz w:val="15"/>
          <w:szCs w:val="15"/>
        </w:rPr>
        <w:t xml:space="preserve"> </w:t>
      </w:r>
      <w:proofErr w:type="gramStart"/>
      <w:r>
        <w:rPr>
          <w:rFonts w:ascii="Arial" w:hAnsi="Arial" w:cs="Arial"/>
          <w:color w:val="333333"/>
          <w:sz w:val="15"/>
          <w:szCs w:val="15"/>
        </w:rPr>
        <w:t>Các tế bào này có khả năng biệt hóa thành các dạng tế bào chuyên hóa, hỗ trợ cho quá trình tạo máu.</w:t>
      </w:r>
      <w:proofErr w:type="gramEnd"/>
      <w:r>
        <w:rPr>
          <w:rFonts w:ascii="Arial" w:hAnsi="Arial" w:cs="Arial"/>
          <w:color w:val="333333"/>
          <w:sz w:val="15"/>
          <w:szCs w:val="15"/>
        </w:rPr>
        <w:t xml:space="preserve"> </w:t>
      </w:r>
      <w:proofErr w:type="gramStart"/>
      <w:r>
        <w:rPr>
          <w:rFonts w:ascii="Arial" w:hAnsi="Arial" w:cs="Arial"/>
          <w:color w:val="333333"/>
          <w:sz w:val="15"/>
          <w:szCs w:val="15"/>
        </w:rPr>
        <w:t>Tế bào MSC có liên qua tới nhiều quá trình như tái tạo mô, kích thích miễn dịch, kháng viêm.</w:t>
      </w:r>
      <w:proofErr w:type="gramEnd"/>
      <w:r>
        <w:rPr>
          <w:rFonts w:ascii="Arial" w:hAnsi="Arial" w:cs="Arial"/>
          <w:color w:val="333333"/>
          <w:sz w:val="15"/>
          <w:szCs w:val="15"/>
        </w:rPr>
        <w:t xml:space="preserve"> Tiềm năng này cho phép các MSC có thể được sử dụng cho các điều trị lâm sàng. </w:t>
      </w:r>
      <w:proofErr w:type="gramStart"/>
      <w:r>
        <w:rPr>
          <w:rFonts w:ascii="Arial" w:hAnsi="Arial" w:cs="Arial"/>
          <w:color w:val="333333"/>
          <w:sz w:val="15"/>
          <w:szCs w:val="15"/>
        </w:rPr>
        <w:t>Thực tế, các tế bào MSC trong tủy xương đã được sử dụng cho liệu pháp tế bào để điều trị một số rối loạn trong cơ thể (</w:t>
      </w:r>
      <w:hyperlink r:id="rId11" w:anchor="_ENREF_10" w:tooltip="Hematti, 2013 #29" w:history="1">
        <w:r>
          <w:rPr>
            <w:rStyle w:val="Hyperlink"/>
            <w:rFonts w:ascii="Arial" w:hAnsi="Arial" w:cs="Arial"/>
            <w:color w:val="000000"/>
            <w:sz w:val="15"/>
            <w:szCs w:val="15"/>
          </w:rPr>
          <w:t>Hematti 2013</w:t>
        </w:r>
      </w:hyperlink>
      <w:r>
        <w:rPr>
          <w:rFonts w:ascii="Arial" w:hAnsi="Arial" w:cs="Arial"/>
          <w:color w:val="333333"/>
          <w:sz w:val="15"/>
          <w:szCs w:val="15"/>
        </w:rPr>
        <w:t>).</w:t>
      </w:r>
      <w:proofErr w:type="gramEnd"/>
      <w:r>
        <w:rPr>
          <w:rFonts w:ascii="Arial" w:hAnsi="Arial" w:cs="Arial"/>
          <w:color w:val="333333"/>
          <w:sz w:val="15"/>
          <w:szCs w:val="15"/>
        </w:rPr>
        <w:t> </w:t>
      </w:r>
    </w:p>
    <w:p w:rsidR="00777A39" w:rsidRDefault="00777A39" w:rsidP="00777A39">
      <w:pPr>
        <w:pStyle w:val="NormalWeb"/>
        <w:spacing w:before="0" w:beforeAutospacing="0" w:after="115" w:afterAutospacing="0"/>
        <w:jc w:val="center"/>
        <w:rPr>
          <w:rFonts w:ascii="Arial" w:hAnsi="Arial" w:cs="Arial"/>
          <w:color w:val="333333"/>
          <w:sz w:val="15"/>
          <w:szCs w:val="15"/>
        </w:rPr>
      </w:pPr>
    </w:p>
    <w:p w:rsidR="00777A39" w:rsidRDefault="00777A39" w:rsidP="00777A39">
      <w:pPr>
        <w:pStyle w:val="NormalWeb"/>
        <w:spacing w:before="0" w:beforeAutospacing="0" w:after="115" w:afterAutospacing="0"/>
        <w:rPr>
          <w:rFonts w:ascii="Arial" w:hAnsi="Arial" w:cs="Arial"/>
          <w:color w:val="333333"/>
          <w:sz w:val="15"/>
          <w:szCs w:val="15"/>
        </w:rPr>
      </w:pPr>
      <w:proofErr w:type="gramStart"/>
      <w:r>
        <w:rPr>
          <w:rFonts w:ascii="Arial" w:hAnsi="Arial" w:cs="Arial"/>
          <w:color w:val="333333"/>
          <w:sz w:val="15"/>
          <w:szCs w:val="15"/>
        </w:rPr>
        <w:t>Các MSC trong tủy xương có thể biệt hóa thành tế bào xương, sụn, gân, cơ, tế bào mỡ và tế bào nền hỗ trợ hình thành tế bào máu.</w:t>
      </w:r>
      <w:proofErr w:type="gramEnd"/>
      <w:r>
        <w:rPr>
          <w:rFonts w:ascii="Arial" w:hAnsi="Arial" w:cs="Arial"/>
          <w:color w:val="333333"/>
          <w:sz w:val="15"/>
          <w:szCs w:val="15"/>
        </w:rPr>
        <w:t xml:space="preserve"> </w:t>
      </w:r>
      <w:proofErr w:type="gramStart"/>
      <w:r>
        <w:rPr>
          <w:rFonts w:ascii="Arial" w:hAnsi="Arial" w:cs="Arial"/>
          <w:color w:val="333333"/>
          <w:sz w:val="15"/>
          <w:szCs w:val="15"/>
        </w:rPr>
        <w:t>Những loại tế bào này, sau khi tạo thành có thể được cấy ghép vào cơ thể động vật để phục hồi các tổn thương ở mô và cơ quan.</w:t>
      </w:r>
      <w:proofErr w:type="gramEnd"/>
      <w:r>
        <w:rPr>
          <w:rFonts w:ascii="Arial" w:hAnsi="Arial" w:cs="Arial"/>
          <w:color w:val="333333"/>
          <w:sz w:val="15"/>
          <w:szCs w:val="15"/>
        </w:rPr>
        <w:t xml:space="preserve"> Tuy nhiên, các MSC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từ tủy xương cũng có nhiều hạn chế. </w:t>
      </w:r>
      <w:proofErr w:type="gramStart"/>
      <w:r>
        <w:rPr>
          <w:rFonts w:ascii="Arial" w:hAnsi="Arial" w:cs="Arial"/>
          <w:color w:val="333333"/>
          <w:sz w:val="15"/>
          <w:szCs w:val="15"/>
        </w:rPr>
        <w:t>Bệnh nhân có cảm giác đau và có rủi ro ảnh hưởng tới trạng thái thông thường của tủy xương (</w:t>
      </w:r>
      <w:hyperlink r:id="rId12" w:anchor="_ENREF_2" w:tooltip="Baksh, 2004 #36" w:history="1">
        <w:r>
          <w:rPr>
            <w:rStyle w:val="Hyperlink"/>
            <w:rFonts w:ascii="Arial" w:hAnsi="Arial" w:cs="Arial"/>
            <w:color w:val="000000"/>
            <w:sz w:val="15"/>
            <w:szCs w:val="15"/>
          </w:rPr>
          <w:t>Baksh 2004</w:t>
        </w:r>
      </w:hyperlink>
      <w:r>
        <w:rPr>
          <w:rFonts w:ascii="Arial" w:hAnsi="Arial" w:cs="Arial"/>
          <w:color w:val="333333"/>
          <w:sz w:val="15"/>
          <w:szCs w:val="15"/>
        </w:rPr>
        <w:t>).</w:t>
      </w:r>
      <w:proofErr w:type="gramEnd"/>
      <w:r>
        <w:rPr>
          <w:rFonts w:ascii="Arial" w:hAnsi="Arial" w:cs="Arial"/>
          <w:color w:val="333333"/>
          <w:sz w:val="15"/>
          <w:szCs w:val="15"/>
        </w:rPr>
        <w:t xml:space="preserve"> Mặt khác, MSC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từ cơ thể trưởng thành và từ bào thai có nhiều điểm khác nhau. Quá trình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MSC từ cơ thể trưởng thành cũng khó khăn hơn do trong khoang tủy có nhiều tế bào mỡ vàng. Thời gian sống của các tế bào MSC từ cơ thể trưởng thành cũng ngắn hơn các MSC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từ bào thai. </w:t>
      </w:r>
      <w:proofErr w:type="gramStart"/>
      <w:r>
        <w:rPr>
          <w:rFonts w:ascii="Arial" w:hAnsi="Arial" w:cs="Arial"/>
          <w:color w:val="333333"/>
          <w:sz w:val="15"/>
          <w:szCs w:val="15"/>
        </w:rPr>
        <w:t>Thời điểm sử dụng thuận lợi các MSC của cơ thể trưởng thành là trong 5 lần cấy truyền (</w:t>
      </w:r>
      <w:hyperlink r:id="rId13" w:anchor="_ENREF_21" w:tooltip="Tuan, 2003 #37" w:history="1">
        <w:r>
          <w:rPr>
            <w:rStyle w:val="Hyperlink"/>
            <w:rFonts w:ascii="Arial" w:hAnsi="Arial" w:cs="Arial"/>
            <w:color w:val="000000"/>
            <w:sz w:val="15"/>
            <w:szCs w:val="15"/>
          </w:rPr>
          <w:t>Tuan 2003</w:t>
        </w:r>
      </w:hyperlink>
      <w:r>
        <w:rPr>
          <w:rFonts w:ascii="Arial" w:hAnsi="Arial" w:cs="Arial"/>
          <w:color w:val="333333"/>
          <w:sz w:val="15"/>
          <w:szCs w:val="15"/>
        </w:rPr>
        <w:t>).</w:t>
      </w:r>
      <w:proofErr w:type="gramEnd"/>
      <w:r>
        <w:rPr>
          <w:rFonts w:ascii="Arial" w:hAnsi="Arial" w:cs="Arial"/>
          <w:color w:val="333333"/>
          <w:sz w:val="15"/>
          <w:szCs w:val="15"/>
        </w:rPr>
        <w:t xml:space="preserve"> </w:t>
      </w:r>
      <w:proofErr w:type="gramStart"/>
      <w:r>
        <w:rPr>
          <w:rFonts w:ascii="Arial" w:hAnsi="Arial" w:cs="Arial"/>
          <w:color w:val="333333"/>
          <w:sz w:val="15"/>
          <w:szCs w:val="15"/>
        </w:rPr>
        <w:t>Những vấn đề này có thể giải quyết bằng nguồn tế bào MSC mới từ cuống rốn.</w:t>
      </w:r>
      <w:proofErr w:type="gramEnd"/>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Hiện nay nhiều mô của cơ thể trưởng thành và sơ sinh, như mô mỡ (</w:t>
      </w:r>
      <w:hyperlink r:id="rId14" w:anchor="_ENREF_25" w:tooltip="Zuk PA, 2001 #30" w:history="1">
        <w:r>
          <w:rPr>
            <w:rStyle w:val="Hyperlink"/>
            <w:rFonts w:ascii="Arial" w:hAnsi="Arial" w:cs="Arial"/>
            <w:color w:val="000000"/>
            <w:sz w:val="15"/>
            <w:szCs w:val="15"/>
          </w:rPr>
          <w:t>Zuk PA 2001</w:t>
        </w:r>
      </w:hyperlink>
      <w:r>
        <w:rPr>
          <w:rFonts w:ascii="Arial" w:hAnsi="Arial" w:cs="Arial"/>
          <w:color w:val="333333"/>
          <w:sz w:val="15"/>
          <w:szCs w:val="15"/>
        </w:rPr>
        <w:t>), cơ xương (</w:t>
      </w:r>
      <w:hyperlink r:id="rId15" w:anchor="_ENREF_24" w:tooltip="Williams JT, 1999 #31" w:history="1">
        <w:r>
          <w:rPr>
            <w:rStyle w:val="Hyperlink"/>
            <w:rFonts w:ascii="Arial" w:hAnsi="Arial" w:cs="Arial"/>
            <w:color w:val="000000"/>
            <w:sz w:val="15"/>
            <w:szCs w:val="15"/>
          </w:rPr>
          <w:t>Williams JT 1999</w:t>
        </w:r>
      </w:hyperlink>
      <w:r>
        <w:rPr>
          <w:rFonts w:ascii="Arial" w:hAnsi="Arial" w:cs="Arial"/>
          <w:color w:val="333333"/>
          <w:sz w:val="15"/>
          <w:szCs w:val="15"/>
        </w:rPr>
        <w:t>), màng hoạt dịch (</w:t>
      </w:r>
      <w:hyperlink r:id="rId16" w:anchor="_ENREF_5" w:tooltip="De Bari C, 2001 #32" w:history="1">
        <w:r>
          <w:rPr>
            <w:rStyle w:val="Hyperlink"/>
            <w:rFonts w:ascii="Arial" w:hAnsi="Arial" w:cs="Arial"/>
            <w:color w:val="000000"/>
            <w:sz w:val="15"/>
            <w:szCs w:val="15"/>
          </w:rPr>
          <w:t>De Bari C 2001</w:t>
        </w:r>
      </w:hyperlink>
      <w:r>
        <w:rPr>
          <w:rFonts w:ascii="Arial" w:hAnsi="Arial" w:cs="Arial"/>
          <w:color w:val="333333"/>
          <w:sz w:val="15"/>
          <w:szCs w:val="15"/>
        </w:rPr>
        <w:t>), tủy răng (</w:t>
      </w:r>
      <w:hyperlink r:id="rId17" w:anchor="_ENREF_8" w:tooltip="Gronthos S, 2000 #33" w:history="1">
        <w:r>
          <w:rPr>
            <w:rStyle w:val="Hyperlink"/>
            <w:rFonts w:ascii="Arial" w:hAnsi="Arial" w:cs="Arial"/>
            <w:color w:val="000000"/>
            <w:sz w:val="15"/>
            <w:szCs w:val="15"/>
          </w:rPr>
          <w:t>Gronthos S 2000</w:t>
        </w:r>
      </w:hyperlink>
      <w:r>
        <w:rPr>
          <w:rFonts w:ascii="Arial" w:hAnsi="Arial" w:cs="Arial"/>
          <w:color w:val="333333"/>
          <w:sz w:val="15"/>
          <w:szCs w:val="15"/>
        </w:rPr>
        <w:t>), dịch ối (</w:t>
      </w:r>
      <w:hyperlink r:id="rId18" w:anchor="_ENREF_15" w:tooltip="Ming‐Song Tsai, 2004 #4" w:history="1">
        <w:r>
          <w:rPr>
            <w:rStyle w:val="Hyperlink"/>
            <w:rFonts w:ascii="Arial" w:hAnsi="Arial" w:cs="Arial"/>
            <w:color w:val="000000"/>
            <w:sz w:val="15"/>
            <w:szCs w:val="15"/>
          </w:rPr>
          <w:t>Ming Song Tsai 2004</w:t>
        </w:r>
      </w:hyperlink>
      <w:r>
        <w:rPr>
          <w:rFonts w:ascii="Arial" w:hAnsi="Arial" w:cs="Arial"/>
          <w:color w:val="333333"/>
          <w:sz w:val="15"/>
          <w:szCs w:val="15"/>
        </w:rPr>
        <w:t>) và cuống rốn (</w:t>
      </w:r>
      <w:hyperlink r:id="rId19" w:anchor="_ENREF_16" w:tooltip="Oscar K. Lee, 2004 #35" w:history="1">
        <w:r>
          <w:rPr>
            <w:rStyle w:val="Hyperlink"/>
            <w:rFonts w:ascii="Arial" w:hAnsi="Arial" w:cs="Arial"/>
            <w:color w:val="000000"/>
            <w:sz w:val="15"/>
            <w:szCs w:val="15"/>
          </w:rPr>
          <w:t>Oscar K. Lee 2004</w:t>
        </w:r>
      </w:hyperlink>
      <w:r>
        <w:rPr>
          <w:rFonts w:ascii="Arial" w:hAnsi="Arial" w:cs="Arial"/>
          <w:color w:val="333333"/>
          <w:sz w:val="15"/>
          <w:szCs w:val="15"/>
        </w:rPr>
        <w:t xml:space="preserve">). </w:t>
      </w:r>
      <w:proofErr w:type="gramStart"/>
      <w:r>
        <w:rPr>
          <w:rFonts w:ascii="Arial" w:hAnsi="Arial" w:cs="Arial"/>
          <w:color w:val="333333"/>
          <w:sz w:val="15"/>
          <w:szCs w:val="15"/>
        </w:rPr>
        <w:t>MSC từ những nguồn này có đặc điểm miễn dịch và các marker (yếu tố nhận biết) giống nhau.</w:t>
      </w:r>
      <w:proofErr w:type="gramEnd"/>
      <w:r>
        <w:rPr>
          <w:rFonts w:ascii="Arial" w:hAnsi="Arial" w:cs="Arial"/>
          <w:color w:val="333333"/>
          <w:sz w:val="15"/>
          <w:szCs w:val="15"/>
        </w:rPr>
        <w:t> </w:t>
      </w:r>
    </w:p>
    <w:p w:rsidR="00777A39" w:rsidRPr="00777A39" w:rsidRDefault="00777A39" w:rsidP="00777A39">
      <w:pPr>
        <w:pStyle w:val="Heading2"/>
        <w:spacing w:before="230" w:beforeAutospacing="0" w:after="115" w:afterAutospacing="0"/>
        <w:rPr>
          <w:rFonts w:ascii="Arial" w:hAnsi="Arial" w:cs="Arial"/>
          <w:b w:val="0"/>
          <w:bCs w:val="0"/>
          <w:color w:val="333333"/>
          <w:sz w:val="24"/>
          <w:szCs w:val="35"/>
        </w:rPr>
      </w:pPr>
      <w:r w:rsidRPr="00777A39">
        <w:rPr>
          <w:rFonts w:ascii="Arial" w:hAnsi="Arial" w:cs="Arial"/>
          <w:b w:val="0"/>
          <w:bCs w:val="0"/>
          <w:color w:val="333333"/>
          <w:sz w:val="24"/>
          <w:szCs w:val="35"/>
        </w:rPr>
        <w:t>PHƯƠNG PHÁP</w:t>
      </w:r>
    </w:p>
    <w:p w:rsidR="00777A39" w:rsidRPr="00777A39" w:rsidRDefault="00777A39" w:rsidP="00777A39">
      <w:pPr>
        <w:pStyle w:val="Heading2"/>
        <w:spacing w:before="230" w:beforeAutospacing="0" w:after="115" w:afterAutospacing="0"/>
        <w:rPr>
          <w:rFonts w:ascii="Arial" w:hAnsi="Arial" w:cs="Arial"/>
          <w:b w:val="0"/>
          <w:bCs w:val="0"/>
          <w:color w:val="333333"/>
          <w:sz w:val="24"/>
          <w:szCs w:val="35"/>
        </w:rPr>
      </w:pPr>
      <w:r w:rsidRPr="00777A39">
        <w:rPr>
          <w:rFonts w:ascii="Arial" w:hAnsi="Arial" w:cs="Arial"/>
          <w:b w:val="0"/>
          <w:bCs w:val="0"/>
          <w:color w:val="333333"/>
          <w:sz w:val="24"/>
          <w:szCs w:val="35"/>
        </w:rPr>
        <w:t>Phương pháp phân lập tế bào</w:t>
      </w:r>
    </w:p>
    <w:p w:rsidR="00777A39" w:rsidRDefault="00777A39" w:rsidP="00777A39">
      <w:pPr>
        <w:pStyle w:val="NormalWeb"/>
        <w:spacing w:before="0" w:beforeAutospacing="0" w:after="115" w:afterAutospacing="0"/>
        <w:jc w:val="center"/>
        <w:rPr>
          <w:rFonts w:ascii="Arial" w:hAnsi="Arial" w:cs="Arial"/>
          <w:color w:val="333333"/>
          <w:sz w:val="15"/>
          <w:szCs w:val="15"/>
        </w:rPr>
      </w:pPr>
      <w:r>
        <w:rPr>
          <w:rFonts w:ascii="Arial" w:hAnsi="Arial" w:cs="Arial"/>
          <w:noProof/>
          <w:color w:val="333333"/>
          <w:sz w:val="15"/>
          <w:szCs w:val="15"/>
        </w:rPr>
        <w:lastRenderedPageBreak/>
        <w:drawing>
          <wp:inline distT="0" distB="0" distL="0" distR="0">
            <wp:extent cx="4264660" cy="3437890"/>
            <wp:effectExtent l="19050" t="0" r="2540" b="0"/>
            <wp:docPr id="3" name="Picture 3" descr="http://tuaf.edu.vn/gallery/images/K.%20CNSH%20-%20CNTP/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af.edu.vn/gallery/images/K.%20CNSH%20-%20CNTP/2(24).jpg"/>
                    <pic:cNvPicPr>
                      <a:picLocks noChangeAspect="1" noChangeArrowheads="1"/>
                    </pic:cNvPicPr>
                  </pic:nvPicPr>
                  <pic:blipFill>
                    <a:blip r:embed="rId20" cstate="print"/>
                    <a:srcRect/>
                    <a:stretch>
                      <a:fillRect/>
                    </a:stretch>
                  </pic:blipFill>
                  <pic:spPr bwMode="auto">
                    <a:xfrm>
                      <a:off x="0" y="0"/>
                      <a:ext cx="4264660" cy="3437890"/>
                    </a:xfrm>
                    <a:prstGeom prst="rect">
                      <a:avLst/>
                    </a:prstGeom>
                    <a:noFill/>
                    <a:ln w="9525">
                      <a:noFill/>
                      <a:miter lim="800000"/>
                      <a:headEnd/>
                      <a:tailEnd/>
                    </a:ln>
                  </pic:spPr>
                </pic:pic>
              </a:graphicData>
            </a:graphic>
          </wp:inline>
        </w:drawing>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 xml:space="preserve">Chuẩn bị môi trường nuôi cấy: Chuẩn bị 300ml môi trường gồm: DMEM-F12 bổ sung 15% (v/v) huyết thanh </w:t>
      </w:r>
      <w:proofErr w:type="gramStart"/>
      <w:r>
        <w:rPr>
          <w:rFonts w:ascii="Arial" w:hAnsi="Arial" w:cs="Arial"/>
          <w:color w:val="333333"/>
          <w:sz w:val="15"/>
          <w:szCs w:val="15"/>
        </w:rPr>
        <w:t>thai</w:t>
      </w:r>
      <w:proofErr w:type="gramEnd"/>
      <w:r>
        <w:rPr>
          <w:rFonts w:ascii="Arial" w:hAnsi="Arial" w:cs="Arial"/>
          <w:color w:val="333333"/>
          <w:sz w:val="15"/>
          <w:szCs w:val="15"/>
        </w:rPr>
        <w:t xml:space="preserve"> bò (FBS), yếu tố tăng trưởng nguyên bào sợi (FGF) nồng độ 10 ng/ml, yếu tố tăng trưởng biểu bì (EGF) nồng độ 10ng/ml, Antibiotic 1%, L–glutamine 2mM, 1x isulin–transferin–selenium (IST). Lọc môi trường bằng xilanh 50ml qua màng lọc, đựng môi trường trong lọ thủy tinh 50ml. Bảo quản ở nhiệt độ 5</w:t>
      </w:r>
      <w:r>
        <w:rPr>
          <w:rFonts w:ascii="Arial" w:hAnsi="Arial" w:cs="Arial"/>
          <w:color w:val="333333"/>
          <w:sz w:val="11"/>
          <w:szCs w:val="11"/>
          <w:vertAlign w:val="superscript"/>
        </w:rPr>
        <w:t>0</w:t>
      </w:r>
      <w:r>
        <w:rPr>
          <w:rFonts w:ascii="Arial" w:hAnsi="Arial" w:cs="Arial"/>
          <w:color w:val="333333"/>
          <w:sz w:val="15"/>
          <w:szCs w:val="15"/>
        </w:rPr>
        <w:t>C, trong ngăn mát</w:t>
      </w:r>
      <w:proofErr w:type="gramStart"/>
      <w:r>
        <w:rPr>
          <w:rFonts w:ascii="Arial" w:hAnsi="Arial" w:cs="Arial"/>
          <w:color w:val="333333"/>
          <w:sz w:val="15"/>
          <w:szCs w:val="15"/>
        </w:rPr>
        <w:t>  tủ</w:t>
      </w:r>
      <w:proofErr w:type="gramEnd"/>
      <w:r>
        <w:rPr>
          <w:rFonts w:ascii="Arial" w:hAnsi="Arial" w:cs="Arial"/>
          <w:color w:val="333333"/>
          <w:sz w:val="15"/>
          <w:szCs w:val="15"/>
        </w:rPr>
        <w:t xml:space="preserve"> lạnh.</w:t>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 xml:space="preserve">Cuống rốn được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với kích thước khoảng 10-15 cm (Hình 2A). Rửa sạch bằng dung dịch đệm, sau đó cắt nhỏ (Hình 2B). Dùng panh gắp mảnh Wharton’s Jelly của cuống rốn có đường kính xấp xỉ 2mm được cấy lên bề mặt đĩa petri 4 giếng (kẹp vô trùng bằng cách hơ trên ngọn lửa đèn cồn), mỗi giếng cấy từ 4 – 5 mảnh, cho vào tủ ấm CO2 trong 2 tiếng đồng hồ để các mảnh mô bám vào bề mặt đĩa. </w:t>
      </w:r>
      <w:proofErr w:type="gramStart"/>
      <w:r>
        <w:rPr>
          <w:rFonts w:ascii="Arial" w:hAnsi="Arial" w:cs="Arial"/>
          <w:color w:val="333333"/>
          <w:sz w:val="15"/>
          <w:szCs w:val="15"/>
        </w:rPr>
        <w:t>Sau 2 tiếng, cho môi trường vào đĩa, khoảng 500ml mỗi giếng (chú ý nhẹ nhàng để các mảnh mô không bị nổi lên).</w:t>
      </w:r>
      <w:proofErr w:type="gramEnd"/>
      <w:r>
        <w:rPr>
          <w:rFonts w:ascii="Arial" w:hAnsi="Arial" w:cs="Arial"/>
          <w:color w:val="333333"/>
          <w:sz w:val="15"/>
          <w:szCs w:val="15"/>
        </w:rPr>
        <w:t xml:space="preserve"> </w:t>
      </w:r>
      <w:proofErr w:type="gramStart"/>
      <w:r>
        <w:rPr>
          <w:rFonts w:ascii="Arial" w:hAnsi="Arial" w:cs="Arial"/>
          <w:color w:val="333333"/>
          <w:sz w:val="15"/>
          <w:szCs w:val="15"/>
        </w:rPr>
        <w:t>Thực hiện thay môi trường 3 ngày 1 lần bằng cách hút bỏ môi trường cũ và cho môi trường mới vào (thao tác hút, bỏ phải thật nhẹ nhàng để tránh tạo bọt và nổi mảnh mô).</w:t>
      </w:r>
      <w:proofErr w:type="gramEnd"/>
      <w:r>
        <w:rPr>
          <w:rFonts w:ascii="Arial" w:hAnsi="Arial" w:cs="Arial"/>
          <w:color w:val="333333"/>
          <w:sz w:val="15"/>
          <w:szCs w:val="15"/>
        </w:rPr>
        <w:t>  Trong thời gian này, thực hiện thay môi trường cách 3 ngày một lần cho đến khi quan sát thấy các tế bào di cư ra rìa mảnh mô và bao phủ bề mặt đĩa nuôi cấy 80% . Lúc này trên bề mặt đĩa các tế bào sẽ tạo thành các cấu trúc như dòng chảy gọi là "confluence" , sau đó sẽ thực hiện cấy chuyền.</w:t>
      </w:r>
    </w:p>
    <w:p w:rsidR="00777A39" w:rsidRPr="00777A39" w:rsidRDefault="00777A39" w:rsidP="00777A39">
      <w:pPr>
        <w:pStyle w:val="Heading2"/>
        <w:spacing w:before="230" w:beforeAutospacing="0" w:after="115" w:afterAutospacing="0"/>
        <w:rPr>
          <w:rFonts w:ascii="Arial" w:hAnsi="Arial" w:cs="Arial"/>
          <w:b w:val="0"/>
          <w:bCs w:val="0"/>
          <w:color w:val="333333"/>
          <w:sz w:val="24"/>
          <w:szCs w:val="35"/>
        </w:rPr>
      </w:pPr>
      <w:r w:rsidRPr="00777A39">
        <w:rPr>
          <w:rFonts w:ascii="Arial" w:hAnsi="Arial" w:cs="Arial"/>
          <w:b w:val="0"/>
          <w:bCs w:val="0"/>
          <w:color w:val="333333"/>
          <w:sz w:val="24"/>
          <w:szCs w:val="35"/>
        </w:rPr>
        <w:t>Phương pháp RT – PCR (Reverse Transcriptase PCR)</w:t>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(Tách ARN sử dụng bộ KIT chiết tách ARN của công ty QIAGEN: RNeasy® Mini Kit.)</w:t>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Các cặp primer được thiết kế để đặc hiệu với các dấu hiệu đánh dấu bề mặt tế bào gốc (TBG) hay các yếu tố phiên mã nhằm xác định biểu hiện âm tính hoặc dương tính của chúng, qua đó đánh giá đặc tính TBG của các tế bào phân lập được từ phương pháp nuôi cấy mảnh mô. Trình tự các primer này như sau:</w:t>
      </w:r>
      <w:bookmarkStart w:id="0" w:name="_Toc388185808"/>
      <w:bookmarkEnd w:id="0"/>
    </w:p>
    <w:p w:rsidR="00777A39" w:rsidRDefault="00777A39" w:rsidP="00777A39">
      <w:pPr>
        <w:pStyle w:val="NormalWeb"/>
        <w:spacing w:before="0" w:beforeAutospacing="0" w:after="115" w:afterAutospacing="0"/>
        <w:ind w:left="720"/>
        <w:rPr>
          <w:rFonts w:ascii="Arial" w:hAnsi="Arial" w:cs="Arial"/>
          <w:color w:val="333333"/>
          <w:sz w:val="15"/>
          <w:szCs w:val="15"/>
        </w:rPr>
      </w:pPr>
      <w:r>
        <w:rPr>
          <w:rFonts w:ascii="Arial" w:hAnsi="Arial" w:cs="Arial"/>
          <w:color w:val="333333"/>
          <w:sz w:val="15"/>
          <w:szCs w:val="15"/>
        </w:rPr>
        <w:t>Trình tự của mồi chạy RT - PCR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9"/>
        <w:gridCol w:w="4245"/>
        <w:gridCol w:w="4232"/>
      </w:tblGrid>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bookmarkStart w:id="1" w:name="_Toc389233307"/>
            <w:bookmarkStart w:id="2" w:name="_Toc389234021"/>
            <w:bookmarkEnd w:id="2"/>
            <w:r>
              <w:rPr>
                <w:rStyle w:val="Strong"/>
                <w:color w:val="000000"/>
              </w:rPr>
              <w:t>Marker</w:t>
            </w:r>
            <w:bookmarkEnd w:id="1"/>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rPr>
                <w:rStyle w:val="Strong"/>
              </w:rPr>
              <w:t>Forward primer</w:t>
            </w:r>
          </w:p>
          <w:p w:rsidR="00777A39" w:rsidRDefault="00777A39" w:rsidP="00777A39">
            <w:pPr>
              <w:pStyle w:val="NormalWeb"/>
              <w:spacing w:before="0" w:beforeAutospacing="0" w:after="115" w:afterAutospacing="0"/>
              <w:jc w:val="center"/>
            </w:pPr>
            <w:r>
              <w:rPr>
                <w:rStyle w:val="Strong"/>
              </w:rPr>
              <w:t>5’à</w:t>
            </w:r>
            <w:r>
              <w:rPr>
                <w:rStyle w:val="apple-converted-space"/>
                <w:b/>
                <w:bCs/>
              </w:rPr>
              <w:t> </w:t>
            </w:r>
            <w:r>
              <w:rPr>
                <w:rStyle w:val="Strong"/>
              </w:rPr>
              <w:t>3’</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rPr>
                <w:rStyle w:val="Strong"/>
              </w:rPr>
              <w:t>Reveser primer</w:t>
            </w:r>
          </w:p>
          <w:p w:rsidR="00777A39" w:rsidRDefault="00777A39" w:rsidP="00777A39">
            <w:pPr>
              <w:pStyle w:val="NormalWeb"/>
              <w:spacing w:before="0" w:beforeAutospacing="0" w:after="115" w:afterAutospacing="0"/>
              <w:jc w:val="center"/>
            </w:pPr>
            <w:r>
              <w:rPr>
                <w:rStyle w:val="Strong"/>
              </w:rPr>
              <w:t>5’à</w:t>
            </w:r>
            <w:r>
              <w:rPr>
                <w:rStyle w:val="apple-converted-space"/>
                <w:b/>
                <w:bCs/>
              </w:rPr>
              <w:t> </w:t>
            </w:r>
            <w:r>
              <w:rPr>
                <w:rStyle w:val="Strong"/>
              </w:rPr>
              <w:t>3’</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CD34</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AAAACGTGTTGCCTTGAACC</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AGCCATGGAGATCAGAGGA</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CD73</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CCTGCTCAGCTCTGCATAAGTA</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CCCTATTTTACTGGCCAAGTGT</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CD86</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TCCTGGCTGAGAGAGGAAGA</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AGACTGCCCCATCCCTTAGT</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CD90</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TTTGGCCCAAGTTTCTAAGG</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AGATGCCATAAGCTGTGGTG</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CD105</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TCCAGCACTGGTGAACTGAG</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TGTCTCCCCTGCCAGTTAGT</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Eras</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GCAAGGTCCTGTAGGGAGAA</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GCAGCTTTGAAACCCAAAAC</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lastRenderedPageBreak/>
              <w:t>Oct – 1</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GCAACCCTGTTAGCTTGGTC</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CTCTCCTTTGCCCTCACAAC</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GATA4</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CCAGAGATTCTGCAACACGA</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ATTTTGGAGTGAGGGGTCTG</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HNF4a</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ATGGTCAGCGTGAAC</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ACTTCCTGCTTGGTG</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AFP</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TGCAGCCAAAGTGAAGAGGGAAGA</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CATAGCGAGCAGCCCAAAGAAGAA</w:t>
            </w:r>
          </w:p>
        </w:tc>
      </w:tr>
      <w:tr w:rsidR="00777A39" w:rsidTr="00777A39">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TAT</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TGAGCAGTCTGTCCACTGCCT</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ATGTGAATGAGGAGGATCTGAG</w:t>
            </w:r>
          </w:p>
        </w:tc>
      </w:tr>
      <w:tr w:rsidR="00777A39" w:rsidTr="00777A39">
        <w:trPr>
          <w:trHeight w:val="323"/>
        </w:trPr>
        <w:tc>
          <w:tcPr>
            <w:tcW w:w="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jc w:val="center"/>
            </w:pPr>
            <w:r>
              <w:t>HNF3b</w:t>
            </w:r>
          </w:p>
        </w:tc>
        <w:tc>
          <w:tcPr>
            <w:tcW w:w="3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CACCACTACGCCTTCAACC</w:t>
            </w:r>
          </w:p>
        </w:tc>
        <w:tc>
          <w:tcPr>
            <w:tcW w:w="3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 GGTATAGGAGGTATCTGCGG</w:t>
            </w:r>
          </w:p>
        </w:tc>
      </w:tr>
    </w:tbl>
    <w:p w:rsidR="00777A39" w:rsidRDefault="00777A39" w:rsidP="00777A39">
      <w:pPr>
        <w:pStyle w:val="NormalWeb"/>
        <w:spacing w:before="0" w:beforeAutospacing="0" w:after="115" w:afterAutospacing="0"/>
        <w:rPr>
          <w:rFonts w:ascii="Arial" w:hAnsi="Arial" w:cs="Arial"/>
          <w:color w:val="333333"/>
          <w:sz w:val="15"/>
          <w:szCs w:val="15"/>
        </w:rPr>
      </w:pPr>
      <w:r>
        <w:rPr>
          <w:rStyle w:val="Strong"/>
          <w:rFonts w:ascii="Arial" w:hAnsi="Arial" w:cs="Arial"/>
          <w:color w:val="333333"/>
          <w:sz w:val="15"/>
          <w:szCs w:val="15"/>
        </w:rPr>
        <w:t xml:space="preserve">Thành phần và </w:t>
      </w:r>
      <w:proofErr w:type="gramStart"/>
      <w:r>
        <w:rPr>
          <w:rStyle w:val="Strong"/>
          <w:rFonts w:ascii="Arial" w:hAnsi="Arial" w:cs="Arial"/>
          <w:color w:val="333333"/>
          <w:sz w:val="15"/>
          <w:szCs w:val="15"/>
        </w:rPr>
        <w:t>chu</w:t>
      </w:r>
      <w:proofErr w:type="gramEnd"/>
      <w:r>
        <w:rPr>
          <w:rStyle w:val="Strong"/>
          <w:rFonts w:ascii="Arial" w:hAnsi="Arial" w:cs="Arial"/>
          <w:color w:val="333333"/>
          <w:sz w:val="15"/>
          <w:szCs w:val="15"/>
        </w:rPr>
        <w:t xml:space="preserve"> kỳ nhiệt cho phản ứng RT – PCR</w:t>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 xml:space="preserve">Để thực hiện phản ứng phiên mã ngược và khuếch đại đoạn cADN sau phiên mã ngược với độ nhạy và độ đặc hiệu cao, chúng tôi thực hiện kỹ thuật RT – PCR cùng lúc cho cả hai phản ứng để hạn chế sự lây nhiễm. Thành phần và </w:t>
      </w:r>
      <w:proofErr w:type="gramStart"/>
      <w:r>
        <w:rPr>
          <w:rFonts w:ascii="Arial" w:hAnsi="Arial" w:cs="Arial"/>
          <w:color w:val="333333"/>
          <w:sz w:val="15"/>
          <w:szCs w:val="15"/>
        </w:rPr>
        <w:t>chu</w:t>
      </w:r>
      <w:proofErr w:type="gramEnd"/>
      <w:r>
        <w:rPr>
          <w:rFonts w:ascii="Arial" w:hAnsi="Arial" w:cs="Arial"/>
          <w:color w:val="333333"/>
          <w:sz w:val="15"/>
          <w:szCs w:val="15"/>
        </w:rPr>
        <w:t xml:space="preserve"> kỳ nhiệt được trình bày sau đây:</w:t>
      </w:r>
    </w:p>
    <w:p w:rsidR="00777A39" w:rsidRDefault="00777A39" w:rsidP="00777A39">
      <w:pPr>
        <w:pStyle w:val="NormalWeb"/>
        <w:spacing w:before="0" w:beforeAutospacing="0" w:after="115" w:afterAutospacing="0"/>
        <w:rPr>
          <w:rFonts w:ascii="Arial" w:hAnsi="Arial" w:cs="Arial"/>
          <w:color w:val="333333"/>
          <w:sz w:val="15"/>
          <w:szCs w:val="15"/>
        </w:rPr>
      </w:pPr>
      <w:r>
        <w:rPr>
          <w:rStyle w:val="Strong"/>
          <w:rFonts w:ascii="Arial" w:hAnsi="Arial" w:cs="Arial"/>
          <w:color w:val="333333"/>
          <w:sz w:val="15"/>
          <w:szCs w:val="15"/>
        </w:rPr>
        <w:t>Thành phần phản ứng RT – PCR:</w:t>
      </w:r>
    </w:p>
    <w:tbl>
      <w:tblPr>
        <w:tblW w:w="65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37"/>
        <w:gridCol w:w="1417"/>
        <w:gridCol w:w="1855"/>
      </w:tblGrid>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Thành phần</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Thể tích</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Nồng độ cuối</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Nước không có Rnase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10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dNTP mix</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400 μM cho mỗi dNTP</w:t>
            </w:r>
          </w:p>
        </w:tc>
      </w:tr>
      <w:tr w:rsidR="00777A39" w:rsidTr="00777A39">
        <w:trPr>
          <w:trHeight w:val="530"/>
        </w:trPr>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QIAGEN OneStep RT- PCR Buffer, 5x</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5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1x; 2.5 mM Mg</w:t>
            </w:r>
            <w:r>
              <w:rPr>
                <w:sz w:val="11"/>
                <w:szCs w:val="11"/>
                <w:vertAlign w:val="superscript"/>
              </w:rPr>
              <w:t>2+</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QIAGEN OneStep RT- PCR Enzyme Mix</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 μl</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Q- solution 5x</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5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1x</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RNA mẫu</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1pg – 2pg/ phản ứng</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Primer F</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0.6 μM</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Primer R</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 μl</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0.6 μM</w:t>
            </w:r>
          </w:p>
        </w:tc>
      </w:tr>
      <w:tr w:rsidR="00777A39" w:rsidTr="00777A39">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Tổng thể tích</w:t>
            </w:r>
          </w:p>
        </w:tc>
        <w:tc>
          <w:tcPr>
            <w:tcW w:w="327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25 μl</w:t>
            </w:r>
          </w:p>
        </w:tc>
      </w:tr>
    </w:tbl>
    <w:p w:rsidR="00777A39" w:rsidRDefault="00777A39" w:rsidP="00777A39">
      <w:pPr>
        <w:pStyle w:val="NormalWeb"/>
        <w:spacing w:before="0" w:beforeAutospacing="0" w:after="115" w:afterAutospacing="0"/>
        <w:rPr>
          <w:rFonts w:ascii="Arial" w:hAnsi="Arial" w:cs="Arial"/>
          <w:color w:val="333333"/>
          <w:sz w:val="15"/>
          <w:szCs w:val="15"/>
        </w:rPr>
      </w:pPr>
      <w:r>
        <w:rPr>
          <w:rStyle w:val="Strong"/>
          <w:rFonts w:ascii="Arial" w:hAnsi="Arial" w:cs="Arial"/>
          <w:color w:val="333333"/>
          <w:sz w:val="15"/>
          <w:szCs w:val="15"/>
        </w:rPr>
        <w:t>Chu kỳ nhiệt cho phản ứng RT- PCR:</w:t>
      </w:r>
    </w:p>
    <w:tbl>
      <w:tblPr>
        <w:tblW w:w="65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1"/>
        <w:gridCol w:w="2396"/>
        <w:gridCol w:w="1417"/>
        <w:gridCol w:w="1855"/>
      </w:tblGrid>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Bước</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Hoạt động</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Nhiệt độ</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Thời gian</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Phiên mã ngược</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50</w:t>
            </w:r>
            <w:r>
              <w:rPr>
                <w:sz w:val="11"/>
                <w:szCs w:val="11"/>
                <w:vertAlign w:val="superscript"/>
              </w:rPr>
              <w:t>0</w:t>
            </w:r>
            <w:r>
              <w:rPr>
                <w:rStyle w:val="apple-converted-space"/>
              </w:rPr>
              <w:t> </w:t>
            </w:r>
            <w:r>
              <w:t>C</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30 phút</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2</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Tiền biến tính</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95</w:t>
            </w:r>
            <w:r>
              <w:rPr>
                <w:sz w:val="11"/>
                <w:szCs w:val="11"/>
                <w:vertAlign w:val="superscript"/>
              </w:rPr>
              <w:t>0</w:t>
            </w:r>
            <w:r>
              <w:rPr>
                <w:rStyle w:val="apple-converted-space"/>
                <w:sz w:val="11"/>
                <w:szCs w:val="11"/>
                <w:vertAlign w:val="superscript"/>
              </w:rPr>
              <w:t> </w:t>
            </w:r>
            <w:r>
              <w:t>C</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15 phút</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3</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Biến tính</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94</w:t>
            </w:r>
            <w:r>
              <w:rPr>
                <w:sz w:val="11"/>
                <w:szCs w:val="11"/>
                <w:vertAlign w:val="superscript"/>
              </w:rPr>
              <w:t>0</w:t>
            </w:r>
            <w:r>
              <w:rPr>
                <w:rStyle w:val="apple-converted-space"/>
              </w:rPr>
              <w:t> </w:t>
            </w:r>
            <w:r>
              <w:t>C</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30 giây</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4</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Bắt cặp và kéo dài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Phụ thuộc mồi</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45 giây</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5</w:t>
            </w:r>
          </w:p>
        </w:tc>
        <w:tc>
          <w:tcPr>
            <w:tcW w:w="56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Lặp lại bước 3 và 4 trong 30 chu kỳ</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6</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Hoàn thành</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72</w:t>
            </w:r>
            <w:r>
              <w:rPr>
                <w:sz w:val="11"/>
                <w:szCs w:val="11"/>
                <w:vertAlign w:val="superscript"/>
              </w:rPr>
              <w:t>0</w:t>
            </w:r>
            <w:r>
              <w:rPr>
                <w:rStyle w:val="apple-converted-space"/>
              </w:rPr>
              <w:t> </w:t>
            </w:r>
            <w:r>
              <w:t>C</w:t>
            </w:r>
          </w:p>
        </w:tc>
        <w:tc>
          <w:tcPr>
            <w:tcW w:w="1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10 phút 30 giây</w:t>
            </w:r>
          </w:p>
        </w:tc>
      </w:tr>
      <w:tr w:rsidR="00777A39" w:rsidTr="00777A39">
        <w:tc>
          <w:tcPr>
            <w:tcW w:w="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7</w:t>
            </w:r>
          </w:p>
        </w:tc>
        <w:tc>
          <w:tcPr>
            <w:tcW w:w="2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Giữ sản phẩm</w:t>
            </w:r>
          </w:p>
        </w:tc>
        <w:tc>
          <w:tcPr>
            <w:tcW w:w="327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7A39" w:rsidRDefault="00777A39" w:rsidP="00777A39">
            <w:pPr>
              <w:pStyle w:val="NormalWeb"/>
              <w:spacing w:before="0" w:beforeAutospacing="0" w:after="115" w:afterAutospacing="0"/>
            </w:pPr>
            <w:r>
              <w:t>15</w:t>
            </w:r>
            <w:r>
              <w:rPr>
                <w:sz w:val="11"/>
                <w:szCs w:val="11"/>
                <w:vertAlign w:val="superscript"/>
              </w:rPr>
              <w:t>0</w:t>
            </w:r>
            <w:r>
              <w:rPr>
                <w:rStyle w:val="apple-converted-space"/>
              </w:rPr>
              <w:t> </w:t>
            </w:r>
            <w:r>
              <w:t>C</w:t>
            </w:r>
          </w:p>
        </w:tc>
      </w:tr>
    </w:tbl>
    <w:p w:rsidR="00777A39" w:rsidRPr="00777A39" w:rsidRDefault="00777A39" w:rsidP="00777A39">
      <w:pPr>
        <w:pStyle w:val="Heading2"/>
        <w:spacing w:before="230" w:beforeAutospacing="0" w:after="115" w:afterAutospacing="0"/>
        <w:jc w:val="both"/>
        <w:rPr>
          <w:rFonts w:ascii="Arial" w:hAnsi="Arial" w:cs="Arial"/>
          <w:b w:val="0"/>
          <w:bCs w:val="0"/>
          <w:color w:val="333333"/>
          <w:sz w:val="28"/>
          <w:szCs w:val="35"/>
        </w:rPr>
      </w:pPr>
      <w:r w:rsidRPr="00777A39">
        <w:rPr>
          <w:rFonts w:ascii="Arial" w:hAnsi="Arial" w:cs="Arial"/>
          <w:b w:val="0"/>
          <w:bCs w:val="0"/>
          <w:color w:val="333333"/>
          <w:sz w:val="28"/>
          <w:szCs w:val="35"/>
        </w:rPr>
        <w:t>KẾT QUẢ</w:t>
      </w:r>
    </w:p>
    <w:p w:rsidR="00777A39" w:rsidRPr="00777A39" w:rsidRDefault="00777A39" w:rsidP="00777A39">
      <w:pPr>
        <w:pStyle w:val="Heading2"/>
        <w:spacing w:before="230" w:beforeAutospacing="0" w:after="115" w:afterAutospacing="0"/>
        <w:jc w:val="both"/>
        <w:rPr>
          <w:rFonts w:ascii="Arial" w:hAnsi="Arial" w:cs="Arial"/>
          <w:b w:val="0"/>
          <w:bCs w:val="0"/>
          <w:color w:val="333333"/>
          <w:sz w:val="24"/>
          <w:szCs w:val="35"/>
        </w:rPr>
      </w:pPr>
      <w:r w:rsidRPr="00777A39">
        <w:rPr>
          <w:rFonts w:ascii="Arial" w:hAnsi="Arial" w:cs="Arial"/>
          <w:b w:val="0"/>
          <w:bCs w:val="0"/>
          <w:color w:val="333333"/>
          <w:sz w:val="24"/>
          <w:szCs w:val="35"/>
        </w:rPr>
        <w:lastRenderedPageBreak/>
        <w:t>Phân lập tế bào cuống rốn</w:t>
      </w:r>
    </w:p>
    <w:p w:rsidR="00777A39" w:rsidRDefault="00777A39" w:rsidP="00777A39">
      <w:pPr>
        <w:pStyle w:val="NormalWeb"/>
        <w:spacing w:before="0" w:beforeAutospacing="0" w:after="115" w:afterAutospacing="0"/>
        <w:jc w:val="both"/>
        <w:rPr>
          <w:rFonts w:ascii="Arial" w:hAnsi="Arial" w:cs="Arial"/>
          <w:color w:val="333333"/>
          <w:sz w:val="15"/>
          <w:szCs w:val="15"/>
        </w:rPr>
      </w:pPr>
      <w:proofErr w:type="gramStart"/>
      <w:r>
        <w:rPr>
          <w:rFonts w:ascii="Arial" w:hAnsi="Arial" w:cs="Arial"/>
          <w:color w:val="333333"/>
          <w:sz w:val="15"/>
          <w:szCs w:val="15"/>
        </w:rPr>
        <w:t>Quá trình phân lập tế bào cuống rốn được tiến hành 4 lần.</w:t>
      </w:r>
      <w:proofErr w:type="gramEnd"/>
      <w:r>
        <w:rPr>
          <w:rFonts w:ascii="Arial" w:hAnsi="Arial" w:cs="Arial"/>
          <w:color w:val="333333"/>
          <w:sz w:val="15"/>
          <w:szCs w:val="15"/>
        </w:rPr>
        <w:t xml:space="preserve"> Lần 1 sử dụng 1 mẫu cuống rốn được thu nhận trong vòng 12 tiếng, ngay sau quá trình sinh nở của thai phụ, lần 2 sử dụng các mảnh cuống rốn được lưu trữ trong trạng thái lạnh đông, lần 3 và 4 sử dụng 2 cuống rốn mới, nuôi trong điều kiện thiếu khí C0</w:t>
      </w:r>
      <w:r>
        <w:rPr>
          <w:rFonts w:ascii="Arial" w:hAnsi="Arial" w:cs="Arial"/>
          <w:color w:val="333333"/>
          <w:sz w:val="11"/>
          <w:szCs w:val="11"/>
          <w:vertAlign w:val="subscript"/>
        </w:rPr>
        <w:t>2</w:t>
      </w:r>
      <w:proofErr w:type="gramStart"/>
      <w:r>
        <w:rPr>
          <w:rStyle w:val="apple-converted-space"/>
          <w:rFonts w:ascii="Arial" w:hAnsi="Arial" w:cs="Arial"/>
          <w:color w:val="333333"/>
          <w:sz w:val="11"/>
          <w:szCs w:val="11"/>
          <w:vertAlign w:val="subscript"/>
        </w:rPr>
        <w:t> </w:t>
      </w:r>
      <w:r>
        <w:rPr>
          <w:rFonts w:ascii="Arial" w:hAnsi="Arial" w:cs="Arial"/>
          <w:color w:val="333333"/>
          <w:sz w:val="15"/>
          <w:szCs w:val="15"/>
        </w:rPr>
        <w:t> (</w:t>
      </w:r>
      <w:proofErr w:type="gramEnd"/>
      <w:r>
        <w:rPr>
          <w:rFonts w:ascii="Arial" w:hAnsi="Arial" w:cs="Arial"/>
          <w:color w:val="333333"/>
          <w:sz w:val="15"/>
          <w:szCs w:val="15"/>
        </w:rPr>
        <w:t>thiếu hệ đệm tự nhiên), các cuống rốn được thu nhận theo qui định của pháp luật. Các mảnh cuống rốn được rửa sạch bằng đệm PBS, loại bỏ tối đa các tế bào máu cùng tĩnh mạch và động mạch, sau đó được cắt nhỏ thành những mảnh có kích thước 1- 2 mm. Những mảnh cuống rốn này được chuyển vào nuôi trong đĩa 4 giếng với số lượng tối đa 4 mảnh/1 giếng. </w:t>
      </w:r>
    </w:p>
    <w:p w:rsidR="00777A39" w:rsidRDefault="00777A39" w:rsidP="00777A39">
      <w:pPr>
        <w:pStyle w:val="NormalWeb"/>
        <w:spacing w:before="0" w:beforeAutospacing="0" w:after="115" w:afterAutospacing="0"/>
        <w:jc w:val="center"/>
        <w:rPr>
          <w:rFonts w:ascii="Arial" w:hAnsi="Arial" w:cs="Arial"/>
          <w:color w:val="333333"/>
          <w:sz w:val="15"/>
          <w:szCs w:val="15"/>
        </w:rPr>
      </w:pPr>
      <w:r>
        <w:rPr>
          <w:rFonts w:ascii="Arial" w:hAnsi="Arial" w:cs="Arial"/>
          <w:noProof/>
          <w:color w:val="333333"/>
          <w:sz w:val="15"/>
          <w:szCs w:val="15"/>
        </w:rPr>
        <w:drawing>
          <wp:inline distT="0" distB="0" distL="0" distR="0">
            <wp:extent cx="4067175" cy="4396740"/>
            <wp:effectExtent l="19050" t="0" r="9525" b="0"/>
            <wp:docPr id="4" name="Picture 4" descr="http://tuaf.edu.vn/gallery/images/K.%20CNSH%20-%20CNTP/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af.edu.vn/gallery/images/K.%20CNSH%20-%20CNTP/3(17).jpg"/>
                    <pic:cNvPicPr>
                      <a:picLocks noChangeAspect="1" noChangeArrowheads="1"/>
                    </pic:cNvPicPr>
                  </pic:nvPicPr>
                  <pic:blipFill>
                    <a:blip r:embed="rId21" cstate="print"/>
                    <a:srcRect/>
                    <a:stretch>
                      <a:fillRect/>
                    </a:stretch>
                  </pic:blipFill>
                  <pic:spPr bwMode="auto">
                    <a:xfrm>
                      <a:off x="0" y="0"/>
                      <a:ext cx="4067175" cy="4396740"/>
                    </a:xfrm>
                    <a:prstGeom prst="rect">
                      <a:avLst/>
                    </a:prstGeom>
                    <a:noFill/>
                    <a:ln w="9525">
                      <a:noFill/>
                      <a:miter lim="800000"/>
                      <a:headEnd/>
                      <a:tailEnd/>
                    </a:ln>
                  </pic:spPr>
                </pic:pic>
              </a:graphicData>
            </a:graphic>
          </wp:inline>
        </w:drawing>
      </w:r>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 xml:space="preserve">Các lần phân lập 1, 3, 4 </w:t>
      </w:r>
      <w:proofErr w:type="gramStart"/>
      <w:r>
        <w:rPr>
          <w:rFonts w:ascii="Arial" w:hAnsi="Arial" w:cs="Arial"/>
          <w:color w:val="333333"/>
          <w:sz w:val="15"/>
          <w:szCs w:val="15"/>
        </w:rPr>
        <w:t>thu</w:t>
      </w:r>
      <w:proofErr w:type="gramEnd"/>
      <w:r>
        <w:rPr>
          <w:rFonts w:ascii="Arial" w:hAnsi="Arial" w:cs="Arial"/>
          <w:color w:val="333333"/>
          <w:sz w:val="15"/>
          <w:szCs w:val="15"/>
        </w:rPr>
        <w:t xml:space="preserve"> được các tế bào cuống rốn ngay sau 7 ngày nuôi cấy (hình 3). Lần phân lập thứ 2 có 1 mảnh mô sống và </w:t>
      </w:r>
      <w:proofErr w:type="gramStart"/>
      <w:r>
        <w:rPr>
          <w:rFonts w:ascii="Arial" w:hAnsi="Arial" w:cs="Arial"/>
          <w:color w:val="333333"/>
          <w:sz w:val="15"/>
          <w:szCs w:val="15"/>
        </w:rPr>
        <w:t>thu</w:t>
      </w:r>
      <w:proofErr w:type="gramEnd"/>
      <w:r>
        <w:rPr>
          <w:rFonts w:ascii="Arial" w:hAnsi="Arial" w:cs="Arial"/>
          <w:color w:val="333333"/>
          <w:sz w:val="15"/>
          <w:szCs w:val="15"/>
        </w:rPr>
        <w:t xml:space="preserve"> được tế bào cuống rốn sau 21 ngày. </w:t>
      </w:r>
      <w:proofErr w:type="gramStart"/>
      <w:r>
        <w:rPr>
          <w:rFonts w:ascii="Arial" w:hAnsi="Arial" w:cs="Arial"/>
          <w:color w:val="333333"/>
          <w:sz w:val="15"/>
          <w:szCs w:val="15"/>
        </w:rPr>
        <w:t>Việc này gợi ý về ảnh hưởng của trạng thái mẫu tới kết quả phân lập.</w:t>
      </w:r>
      <w:proofErr w:type="gramEnd"/>
      <w:r>
        <w:rPr>
          <w:rFonts w:ascii="Arial" w:hAnsi="Arial" w:cs="Arial"/>
          <w:color w:val="333333"/>
          <w:sz w:val="15"/>
          <w:szCs w:val="15"/>
        </w:rPr>
        <w:t xml:space="preserve"> </w:t>
      </w:r>
      <w:proofErr w:type="gramStart"/>
      <w:r>
        <w:rPr>
          <w:rFonts w:ascii="Arial" w:hAnsi="Arial" w:cs="Arial"/>
          <w:color w:val="333333"/>
          <w:sz w:val="15"/>
          <w:szCs w:val="15"/>
        </w:rPr>
        <w:t>Những mảnh mô cuống rốn sau khi trải qua quá trình lạnh đông, giải đông tuy vẫn có thể bám dính nhưng cần nhiều thời gian hơn so với mẫu còn tươi và số lượng mảnh mô bám dính cũng ít hơn.</w:t>
      </w:r>
      <w:proofErr w:type="gramEnd"/>
      <w:r>
        <w:rPr>
          <w:rFonts w:ascii="Arial" w:hAnsi="Arial" w:cs="Arial"/>
          <w:color w:val="333333"/>
          <w:sz w:val="15"/>
          <w:szCs w:val="15"/>
        </w:rPr>
        <w:t xml:space="preserve"> </w:t>
      </w:r>
      <w:proofErr w:type="gramStart"/>
      <w:r>
        <w:rPr>
          <w:rFonts w:ascii="Arial" w:hAnsi="Arial" w:cs="Arial"/>
          <w:color w:val="333333"/>
          <w:sz w:val="15"/>
          <w:szCs w:val="15"/>
        </w:rPr>
        <w:t>Kích thước mảnh mô nuôi cấy cũng là yếu tố có ảnh hưởng tới quá trình phân lập.</w:t>
      </w:r>
      <w:proofErr w:type="gramEnd"/>
      <w:r>
        <w:rPr>
          <w:rFonts w:ascii="Arial" w:hAnsi="Arial" w:cs="Arial"/>
          <w:color w:val="333333"/>
          <w:sz w:val="15"/>
          <w:szCs w:val="15"/>
        </w:rPr>
        <w:t xml:space="preserve"> </w:t>
      </w:r>
      <w:proofErr w:type="gramStart"/>
      <w:r>
        <w:rPr>
          <w:rFonts w:ascii="Arial" w:hAnsi="Arial" w:cs="Arial"/>
          <w:color w:val="333333"/>
          <w:sz w:val="15"/>
          <w:szCs w:val="15"/>
        </w:rPr>
        <w:t>Những mảnh mô nhỏ hơn 1mm có thể cho các tế bào mọc ra chỉ sau 3-4 ngày nuôi.</w:t>
      </w:r>
      <w:proofErr w:type="gramEnd"/>
      <w:r>
        <w:rPr>
          <w:rFonts w:ascii="Arial" w:hAnsi="Arial" w:cs="Arial"/>
          <w:color w:val="333333"/>
          <w:sz w:val="15"/>
          <w:szCs w:val="15"/>
        </w:rPr>
        <w:t xml:space="preserve"> </w:t>
      </w:r>
      <w:proofErr w:type="gramStart"/>
      <w:r>
        <w:rPr>
          <w:rFonts w:ascii="Arial" w:hAnsi="Arial" w:cs="Arial"/>
          <w:color w:val="333333"/>
          <w:sz w:val="15"/>
          <w:szCs w:val="15"/>
        </w:rPr>
        <w:t>Tuy nhiên, do kích thước nhỏ, những mảnh mô này dễ bị mất đi trong quá trình thay môi trường.</w:t>
      </w:r>
      <w:proofErr w:type="gramEnd"/>
    </w:p>
    <w:p w:rsidR="00777A39" w:rsidRDefault="00777A39" w:rsidP="00777A39">
      <w:pPr>
        <w:pStyle w:val="NormalWeb"/>
        <w:spacing w:before="0" w:beforeAutospacing="0" w:after="115" w:afterAutospacing="0"/>
        <w:jc w:val="both"/>
        <w:rPr>
          <w:rFonts w:ascii="Arial" w:hAnsi="Arial" w:cs="Arial"/>
          <w:color w:val="333333"/>
          <w:sz w:val="15"/>
          <w:szCs w:val="15"/>
        </w:rPr>
      </w:pPr>
      <w:proofErr w:type="gramStart"/>
      <w:r>
        <w:rPr>
          <w:rFonts w:ascii="Arial" w:hAnsi="Arial" w:cs="Arial"/>
          <w:color w:val="333333"/>
          <w:sz w:val="15"/>
          <w:szCs w:val="15"/>
        </w:rPr>
        <w:t>Những mảnh mô đã bám dính thành công đều cho các tế bào có khả năng phát triển tốt, cho dù chúng đã trải qua lạnh đông hay không.</w:t>
      </w:r>
      <w:proofErr w:type="gramEnd"/>
      <w:r>
        <w:rPr>
          <w:rFonts w:ascii="Arial" w:hAnsi="Arial" w:cs="Arial"/>
          <w:color w:val="333333"/>
          <w:sz w:val="15"/>
          <w:szCs w:val="15"/>
        </w:rPr>
        <w:t xml:space="preserve"> </w:t>
      </w:r>
      <w:proofErr w:type="gramStart"/>
      <w:r>
        <w:rPr>
          <w:rFonts w:ascii="Arial" w:hAnsi="Arial" w:cs="Arial"/>
          <w:color w:val="333333"/>
          <w:sz w:val="15"/>
          <w:szCs w:val="15"/>
        </w:rPr>
        <w:t>Các tế bào nuôi trong điều kiện thiếu khí C0</w:t>
      </w:r>
      <w:r>
        <w:rPr>
          <w:rFonts w:ascii="Arial" w:hAnsi="Arial" w:cs="Arial"/>
          <w:color w:val="333333"/>
          <w:sz w:val="11"/>
          <w:szCs w:val="11"/>
          <w:vertAlign w:val="subscript"/>
        </w:rPr>
        <w:t>2</w:t>
      </w:r>
      <w:r>
        <w:rPr>
          <w:rStyle w:val="apple-converted-space"/>
          <w:rFonts w:ascii="Arial" w:hAnsi="Arial" w:cs="Arial"/>
          <w:color w:val="333333"/>
          <w:sz w:val="15"/>
          <w:szCs w:val="15"/>
        </w:rPr>
        <w:t> </w:t>
      </w:r>
      <w:r>
        <w:rPr>
          <w:rFonts w:ascii="Arial" w:hAnsi="Arial" w:cs="Arial"/>
          <w:color w:val="333333"/>
          <w:sz w:val="15"/>
          <w:szCs w:val="15"/>
        </w:rPr>
        <w:t>không có sự ổn định từ hệ đệm C0</w:t>
      </w:r>
      <w:r>
        <w:rPr>
          <w:rFonts w:ascii="Arial" w:hAnsi="Arial" w:cs="Arial"/>
          <w:color w:val="333333"/>
          <w:sz w:val="11"/>
          <w:szCs w:val="11"/>
          <w:vertAlign w:val="subscript"/>
        </w:rPr>
        <w:t>2</w:t>
      </w:r>
      <w:r>
        <w:rPr>
          <w:rStyle w:val="apple-converted-space"/>
          <w:rFonts w:ascii="Arial" w:hAnsi="Arial" w:cs="Arial"/>
          <w:color w:val="333333"/>
          <w:sz w:val="15"/>
          <w:szCs w:val="15"/>
        </w:rPr>
        <w:t> </w:t>
      </w:r>
      <w:r>
        <w:rPr>
          <w:rFonts w:ascii="Arial" w:hAnsi="Arial" w:cs="Arial"/>
          <w:color w:val="333333"/>
          <w:sz w:val="15"/>
          <w:szCs w:val="15"/>
        </w:rPr>
        <w:t>thời gian nuôi cấy ngắn, kết thúc nuôi cấy sau 3 lần cấy truyền.</w:t>
      </w:r>
      <w:proofErr w:type="gramEnd"/>
      <w:r>
        <w:rPr>
          <w:rFonts w:ascii="Arial" w:hAnsi="Arial" w:cs="Arial"/>
          <w:color w:val="333333"/>
          <w:sz w:val="15"/>
          <w:szCs w:val="15"/>
        </w:rPr>
        <w:t xml:space="preserve"> Sau 7 ngày, tế bào có tiềm năng sinh sản rất lớn, tăng sinh rất nhanh. </w:t>
      </w:r>
      <w:proofErr w:type="gramStart"/>
      <w:r>
        <w:rPr>
          <w:rFonts w:ascii="Arial" w:hAnsi="Arial" w:cs="Arial"/>
          <w:color w:val="333333"/>
          <w:sz w:val="15"/>
          <w:szCs w:val="15"/>
        </w:rPr>
        <w:t>Chúng phát triển tạo thành những mảng song song với những lớp cuộn xoắn và gối lên nhau tạo thành các hợp lưu (confluence).</w:t>
      </w:r>
      <w:proofErr w:type="gramEnd"/>
      <w:r>
        <w:rPr>
          <w:rFonts w:ascii="Arial" w:hAnsi="Arial" w:cs="Arial"/>
          <w:color w:val="333333"/>
          <w:sz w:val="15"/>
          <w:szCs w:val="15"/>
        </w:rPr>
        <w:t xml:space="preserve"> </w:t>
      </w:r>
      <w:proofErr w:type="gramStart"/>
      <w:r>
        <w:rPr>
          <w:rFonts w:ascii="Arial" w:hAnsi="Arial" w:cs="Arial"/>
          <w:color w:val="333333"/>
          <w:sz w:val="15"/>
          <w:szCs w:val="15"/>
        </w:rPr>
        <w:t>Quần thể các tế bào lúc này chưa có độ đồng nhất cao.</w:t>
      </w:r>
      <w:proofErr w:type="gramEnd"/>
      <w:r>
        <w:rPr>
          <w:rFonts w:ascii="Arial" w:hAnsi="Arial" w:cs="Arial"/>
          <w:color w:val="333333"/>
          <w:sz w:val="15"/>
          <w:szCs w:val="15"/>
        </w:rPr>
        <w:t xml:space="preserve"> </w:t>
      </w:r>
      <w:proofErr w:type="gramStart"/>
      <w:r>
        <w:rPr>
          <w:rFonts w:ascii="Arial" w:hAnsi="Arial" w:cs="Arial"/>
          <w:color w:val="333333"/>
          <w:sz w:val="15"/>
          <w:szCs w:val="15"/>
        </w:rPr>
        <w:t>Có thể thấy trên bề mặt nuôi ngoài các tế bào dạng nguyên bào sợi chiếm ưu thế thì còn có các tế bào ngắn hơn hoặc dạng tròn, nhỏ.</w:t>
      </w:r>
      <w:proofErr w:type="gramEnd"/>
      <w:r>
        <w:rPr>
          <w:rFonts w:ascii="Arial" w:hAnsi="Arial" w:cs="Arial"/>
          <w:color w:val="333333"/>
          <w:sz w:val="15"/>
          <w:szCs w:val="15"/>
        </w:rPr>
        <w:t xml:space="preserve"> Đó là các tế bào phân chia ra từ tế bào ban đầu, chúng chưa bám chắc được xuống đĩa nuôi. </w:t>
      </w:r>
      <w:proofErr w:type="gramStart"/>
      <w:r>
        <w:rPr>
          <w:rFonts w:ascii="Arial" w:hAnsi="Arial" w:cs="Arial"/>
          <w:color w:val="333333"/>
          <w:sz w:val="15"/>
          <w:szCs w:val="15"/>
        </w:rPr>
        <w:t>Khi mật độ tế bào chiếm khoảng 80% bề mặt đĩa nuôi trở lên, quá trình cấy truyền đầu tiên được tiến hành.</w:t>
      </w:r>
      <w:proofErr w:type="gramEnd"/>
      <w:r>
        <w:rPr>
          <w:rFonts w:ascii="Arial" w:hAnsi="Arial" w:cs="Arial"/>
          <w:color w:val="333333"/>
          <w:sz w:val="15"/>
          <w:szCs w:val="15"/>
        </w:rPr>
        <w:t xml:space="preserve"> Việc cấy truyền nhiều lần sẽ đánh giá khả năng tăng sinh và tự làm mới của tế bào gốc.</w:t>
      </w:r>
    </w:p>
    <w:p w:rsidR="00777A39" w:rsidRPr="00777A39" w:rsidRDefault="00777A39" w:rsidP="00777A39">
      <w:pPr>
        <w:pStyle w:val="Heading2"/>
        <w:spacing w:before="230" w:beforeAutospacing="0" w:after="115" w:afterAutospacing="0"/>
        <w:jc w:val="both"/>
        <w:rPr>
          <w:rFonts w:ascii="Arial" w:hAnsi="Arial" w:cs="Arial"/>
          <w:b w:val="0"/>
          <w:bCs w:val="0"/>
          <w:color w:val="333333"/>
          <w:sz w:val="28"/>
          <w:szCs w:val="35"/>
        </w:rPr>
      </w:pPr>
      <w:r w:rsidRPr="00777A39">
        <w:rPr>
          <w:rFonts w:ascii="Arial" w:hAnsi="Arial" w:cs="Arial"/>
          <w:b w:val="0"/>
          <w:bCs w:val="0"/>
          <w:color w:val="333333"/>
          <w:sz w:val="28"/>
          <w:szCs w:val="35"/>
        </w:rPr>
        <w:t>Phương pháp RT – PCR (Reverse Transcriptase PCR)</w:t>
      </w:r>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 xml:space="preserve">Để xác định quần thể tế bào cuống rốn </w:t>
      </w:r>
      <w:proofErr w:type="gramStart"/>
      <w:r>
        <w:rPr>
          <w:rFonts w:ascii="Arial" w:hAnsi="Arial" w:cs="Arial"/>
          <w:color w:val="333333"/>
          <w:sz w:val="15"/>
          <w:szCs w:val="15"/>
        </w:rPr>
        <w:t>thu</w:t>
      </w:r>
      <w:proofErr w:type="gramEnd"/>
      <w:r>
        <w:rPr>
          <w:rFonts w:ascii="Arial" w:hAnsi="Arial" w:cs="Arial"/>
          <w:color w:val="333333"/>
          <w:sz w:val="15"/>
          <w:szCs w:val="15"/>
        </w:rPr>
        <w:t xml:space="preserve"> được có chứa các MSC hay không, các tế bào cuống rốn thu nhận được sẽ được cấy truyền vài lần để tăng số lượng, đồng thời loại bỏ các tế bào không bám dính. Khi các tế bào tạo confluence ở lần cấy truyền thứ 3, tiến hành tách lấy các tế bào để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RNA tổng số và tiến hành phản ứng RT-PCR, điện di để đánh giá biểu hiện của các gene marker.</w:t>
      </w:r>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 xml:space="preserve">Kết quả điện di cho thấy, các tế bào cuống rốn </w:t>
      </w:r>
      <w:proofErr w:type="gramStart"/>
      <w:r>
        <w:rPr>
          <w:rFonts w:ascii="Arial" w:hAnsi="Arial" w:cs="Arial"/>
          <w:color w:val="333333"/>
          <w:sz w:val="15"/>
          <w:szCs w:val="15"/>
        </w:rPr>
        <w:t>thu</w:t>
      </w:r>
      <w:proofErr w:type="gramEnd"/>
      <w:r>
        <w:rPr>
          <w:rFonts w:ascii="Arial" w:hAnsi="Arial" w:cs="Arial"/>
          <w:color w:val="333333"/>
          <w:sz w:val="15"/>
          <w:szCs w:val="15"/>
        </w:rPr>
        <w:t xml:space="preserve"> được sau lần cấy truyền thứ 3 biểu hiện các marker CD73, CD90, CD105. </w:t>
      </w:r>
      <w:proofErr w:type="gramStart"/>
      <w:r>
        <w:rPr>
          <w:rFonts w:ascii="Arial" w:hAnsi="Arial" w:cs="Arial"/>
          <w:color w:val="333333"/>
          <w:sz w:val="15"/>
          <w:szCs w:val="15"/>
        </w:rPr>
        <w:t>Đây là những marker đặc trưng cho dòng tế bào gốc trung mô ở người.</w:t>
      </w:r>
      <w:proofErr w:type="gramEnd"/>
      <w:r>
        <w:rPr>
          <w:rFonts w:ascii="Arial" w:hAnsi="Arial" w:cs="Arial"/>
          <w:color w:val="333333"/>
          <w:sz w:val="15"/>
          <w:szCs w:val="15"/>
        </w:rPr>
        <w:t xml:space="preserve"> Các marker của các tế bào gốc phôi (</w:t>
      </w:r>
      <w:proofErr w:type="gramStart"/>
      <w:r>
        <w:rPr>
          <w:rFonts w:ascii="Arial" w:hAnsi="Arial" w:cs="Arial"/>
          <w:color w:val="333333"/>
          <w:sz w:val="15"/>
          <w:szCs w:val="15"/>
        </w:rPr>
        <w:t>oct</w:t>
      </w:r>
      <w:proofErr w:type="gramEnd"/>
      <w:r>
        <w:rPr>
          <w:rFonts w:ascii="Arial" w:hAnsi="Arial" w:cs="Arial"/>
          <w:color w:val="333333"/>
          <w:sz w:val="15"/>
          <w:szCs w:val="15"/>
        </w:rPr>
        <w:t xml:space="preserve"> 1, eras) và các tế bào có nguồn gốc từ trung bì và nội bì như TAT, HNF3β (biểu hiện ở tế bào gan), GATA4 (tế bào tim) cũng được phát hiện (Hình 4). </w:t>
      </w:r>
      <w:proofErr w:type="gramStart"/>
      <w:r>
        <w:rPr>
          <w:rFonts w:ascii="Arial" w:hAnsi="Arial" w:cs="Arial"/>
          <w:color w:val="333333"/>
          <w:sz w:val="15"/>
          <w:szCs w:val="15"/>
        </w:rPr>
        <w:t>Khi phơi nhiễm với DMSO 1%, những tế bào này biểu hiện marker HNF4 α (kết quả không công bố).</w:t>
      </w:r>
      <w:proofErr w:type="gramEnd"/>
    </w:p>
    <w:p w:rsidR="00777A39" w:rsidRDefault="00777A39" w:rsidP="00777A39">
      <w:pPr>
        <w:pStyle w:val="NormalWeb"/>
        <w:spacing w:before="0" w:beforeAutospacing="0" w:after="115" w:afterAutospacing="0"/>
        <w:jc w:val="center"/>
        <w:rPr>
          <w:rFonts w:ascii="Arial" w:hAnsi="Arial" w:cs="Arial"/>
          <w:color w:val="333333"/>
          <w:sz w:val="15"/>
          <w:szCs w:val="15"/>
        </w:rPr>
      </w:pPr>
      <w:r>
        <w:rPr>
          <w:rFonts w:ascii="Arial" w:hAnsi="Arial" w:cs="Arial"/>
          <w:noProof/>
          <w:color w:val="333333"/>
          <w:sz w:val="15"/>
          <w:szCs w:val="15"/>
        </w:rPr>
        <w:lastRenderedPageBreak/>
        <w:drawing>
          <wp:inline distT="0" distB="0" distL="0" distR="0">
            <wp:extent cx="5669280" cy="4630420"/>
            <wp:effectExtent l="19050" t="0" r="7620" b="0"/>
            <wp:docPr id="5" name="Picture 5" descr="http://tuaf.edu.vn/gallery/images/K.%20CNSH%20-%20CNTP/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uaf.edu.vn/gallery/images/K.%20CNSH%20-%20CNTP/4(15).jpg"/>
                    <pic:cNvPicPr>
                      <a:picLocks noChangeAspect="1" noChangeArrowheads="1"/>
                    </pic:cNvPicPr>
                  </pic:nvPicPr>
                  <pic:blipFill>
                    <a:blip r:embed="rId22" cstate="print"/>
                    <a:srcRect/>
                    <a:stretch>
                      <a:fillRect/>
                    </a:stretch>
                  </pic:blipFill>
                  <pic:spPr bwMode="auto">
                    <a:xfrm>
                      <a:off x="0" y="0"/>
                      <a:ext cx="5669280" cy="4630420"/>
                    </a:xfrm>
                    <a:prstGeom prst="rect">
                      <a:avLst/>
                    </a:prstGeom>
                    <a:noFill/>
                    <a:ln w="9525">
                      <a:noFill/>
                      <a:miter lim="800000"/>
                      <a:headEnd/>
                      <a:tailEnd/>
                    </a:ln>
                  </pic:spPr>
                </pic:pic>
              </a:graphicData>
            </a:graphic>
          </wp:inline>
        </w:drawing>
      </w:r>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 xml:space="preserve">Các tế bào cuống rốn </w:t>
      </w:r>
      <w:proofErr w:type="gramStart"/>
      <w:r>
        <w:rPr>
          <w:rFonts w:ascii="Arial" w:hAnsi="Arial" w:cs="Arial"/>
          <w:color w:val="333333"/>
          <w:sz w:val="15"/>
          <w:szCs w:val="15"/>
        </w:rPr>
        <w:t>thu</w:t>
      </w:r>
      <w:proofErr w:type="gramEnd"/>
      <w:r>
        <w:rPr>
          <w:rFonts w:ascii="Arial" w:hAnsi="Arial" w:cs="Arial"/>
          <w:color w:val="333333"/>
          <w:sz w:val="15"/>
          <w:szCs w:val="15"/>
        </w:rPr>
        <w:t xml:space="preserve"> nhận được có hình dạng thon dài, nhọn hai đầu như nguyên bào sợi, có biểu hiện các marker đặc trưng của dòng tế bào gốc trung mô của người. </w:t>
      </w:r>
      <w:proofErr w:type="gramStart"/>
      <w:r>
        <w:rPr>
          <w:rFonts w:ascii="Arial" w:hAnsi="Arial" w:cs="Arial"/>
          <w:color w:val="333333"/>
          <w:sz w:val="15"/>
          <w:szCs w:val="15"/>
        </w:rPr>
        <w:t>Vì vậy có thể kết luận chúng là các tế bào gốc trung mô cuống rốn.</w:t>
      </w:r>
      <w:proofErr w:type="gramEnd"/>
      <w:r>
        <w:rPr>
          <w:rFonts w:ascii="Arial" w:hAnsi="Arial" w:cs="Arial"/>
          <w:color w:val="333333"/>
          <w:sz w:val="15"/>
          <w:szCs w:val="15"/>
        </w:rPr>
        <w:t xml:space="preserve"> Các marker HNF4α và</w:t>
      </w:r>
      <w:proofErr w:type="gramStart"/>
      <w:r>
        <w:rPr>
          <w:rFonts w:ascii="Arial" w:hAnsi="Arial" w:cs="Arial"/>
          <w:color w:val="333333"/>
          <w:sz w:val="15"/>
          <w:szCs w:val="15"/>
        </w:rPr>
        <w:t>  AFP</w:t>
      </w:r>
      <w:proofErr w:type="gramEnd"/>
      <w:r>
        <w:rPr>
          <w:rFonts w:ascii="Arial" w:hAnsi="Arial" w:cs="Arial"/>
          <w:color w:val="333333"/>
          <w:sz w:val="15"/>
          <w:szCs w:val="15"/>
        </w:rPr>
        <w:t xml:space="preserve"> là các marker của tế bào gan chuyên hóa, có biểu hiện âm tính. </w:t>
      </w:r>
      <w:proofErr w:type="gramStart"/>
      <w:r>
        <w:rPr>
          <w:rFonts w:ascii="Arial" w:hAnsi="Arial" w:cs="Arial"/>
          <w:color w:val="333333"/>
          <w:sz w:val="15"/>
          <w:szCs w:val="15"/>
        </w:rPr>
        <w:t>Điều này cho thấy các tế bào gốc vẫn còn khả năng duy trì tính tự làm mới.</w:t>
      </w:r>
      <w:proofErr w:type="gramEnd"/>
      <w:r>
        <w:rPr>
          <w:rFonts w:ascii="Arial" w:hAnsi="Arial" w:cs="Arial"/>
          <w:color w:val="333333"/>
          <w:sz w:val="15"/>
          <w:szCs w:val="15"/>
        </w:rPr>
        <w:t xml:space="preserve"> Việc điện di các RNA</w:t>
      </w:r>
      <w:proofErr w:type="gramStart"/>
      <w:r>
        <w:rPr>
          <w:rFonts w:ascii="Arial" w:hAnsi="Arial" w:cs="Arial"/>
          <w:color w:val="333333"/>
          <w:sz w:val="15"/>
          <w:szCs w:val="15"/>
        </w:rPr>
        <w:t>  của</w:t>
      </w:r>
      <w:proofErr w:type="gramEnd"/>
      <w:r>
        <w:rPr>
          <w:rFonts w:ascii="Arial" w:hAnsi="Arial" w:cs="Arial"/>
          <w:color w:val="333333"/>
          <w:sz w:val="15"/>
          <w:szCs w:val="15"/>
        </w:rPr>
        <w:t xml:space="preserve"> các tế bào gốc này biểu hiện dương tính của marker CD34 ở lần cấy truyền thứ 3. </w:t>
      </w:r>
      <w:proofErr w:type="gramStart"/>
      <w:r>
        <w:rPr>
          <w:rFonts w:ascii="Arial" w:hAnsi="Arial" w:cs="Arial"/>
          <w:color w:val="333333"/>
          <w:sz w:val="15"/>
          <w:szCs w:val="15"/>
        </w:rPr>
        <w:t>Kết quả này không giống với miêu tả của Phan Kim Ngọc và nhiều nhà khoa học khác (Phan Kim Ngọc, 2009).</w:t>
      </w:r>
      <w:proofErr w:type="gramEnd"/>
      <w:r>
        <w:rPr>
          <w:rFonts w:ascii="Arial" w:hAnsi="Arial" w:cs="Arial"/>
          <w:color w:val="333333"/>
          <w:sz w:val="15"/>
          <w:szCs w:val="15"/>
        </w:rPr>
        <w:t xml:space="preserve"> Điều này có thể do các tế bào máu còn sót lại sau mỗi lần cấy truyền. </w:t>
      </w:r>
      <w:proofErr w:type="gramStart"/>
      <w:r>
        <w:rPr>
          <w:rFonts w:ascii="Arial" w:hAnsi="Arial" w:cs="Arial"/>
          <w:color w:val="333333"/>
          <w:sz w:val="15"/>
          <w:szCs w:val="15"/>
        </w:rPr>
        <w:t>Để đánh giá giả thuyết này, các tế bào MSC tiếp tục được nuôi cấy tới lần cấy truyền thứ 15 và 20.</w:t>
      </w:r>
      <w:proofErr w:type="gramEnd"/>
      <w:r>
        <w:rPr>
          <w:rFonts w:ascii="Arial" w:hAnsi="Arial" w:cs="Arial"/>
          <w:color w:val="333333"/>
          <w:sz w:val="15"/>
          <w:szCs w:val="15"/>
        </w:rPr>
        <w:t xml:space="preserve"> </w:t>
      </w:r>
      <w:proofErr w:type="gramStart"/>
      <w:r>
        <w:rPr>
          <w:rFonts w:ascii="Arial" w:hAnsi="Arial" w:cs="Arial"/>
          <w:color w:val="333333"/>
          <w:sz w:val="15"/>
          <w:szCs w:val="15"/>
        </w:rPr>
        <w:t>Kết quả điện di RNA tổng số vẫn cho kết quả tương tự với các tế bào ở giai đoạn cấy truyền lần 3.</w:t>
      </w:r>
      <w:proofErr w:type="gramEnd"/>
      <w:r>
        <w:rPr>
          <w:rFonts w:ascii="Arial" w:hAnsi="Arial" w:cs="Arial"/>
          <w:color w:val="333333"/>
          <w:sz w:val="15"/>
          <w:szCs w:val="15"/>
        </w:rPr>
        <w:t xml:space="preserve"> </w:t>
      </w:r>
      <w:proofErr w:type="gramStart"/>
      <w:r>
        <w:rPr>
          <w:rFonts w:ascii="Arial" w:hAnsi="Arial" w:cs="Arial"/>
          <w:color w:val="333333"/>
          <w:sz w:val="15"/>
          <w:szCs w:val="15"/>
        </w:rPr>
        <w:t>Vì vậy giả thuyết còn sót lại tế bào máu bị loại bỏ.</w:t>
      </w:r>
      <w:proofErr w:type="gramEnd"/>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Trên thực tế,</w:t>
      </w:r>
      <w:proofErr w:type="gramStart"/>
      <w:r>
        <w:rPr>
          <w:rFonts w:ascii="Arial" w:hAnsi="Arial" w:cs="Arial"/>
          <w:color w:val="333333"/>
          <w:sz w:val="15"/>
          <w:szCs w:val="15"/>
        </w:rPr>
        <w:t>  Bersenev</w:t>
      </w:r>
      <w:proofErr w:type="gramEnd"/>
      <w:r>
        <w:rPr>
          <w:rFonts w:ascii="Arial" w:hAnsi="Arial" w:cs="Arial"/>
          <w:color w:val="333333"/>
          <w:sz w:val="15"/>
          <w:szCs w:val="15"/>
        </w:rPr>
        <w:t xml:space="preserve"> và cộng sự cũng thu được kết quả thí nghiệm về CD34 dương tính khi phân lập tế bào MSC từ mô mỡ (Bersenev, 2012). Nhóm nghiên cứu đã đưa ra 2 nhận định: 1) Các MSC từ các mô khác nhau có thể có mô hình biểu hiện gene CD34 khác nhau. 2) Tế bào MSC có thể biểu hiện CD34, nhưng tùy thuộc vào môi trường. </w:t>
      </w:r>
      <w:proofErr w:type="gramStart"/>
      <w:r>
        <w:rPr>
          <w:rFonts w:ascii="Arial" w:hAnsi="Arial" w:cs="Arial"/>
          <w:color w:val="333333"/>
          <w:sz w:val="15"/>
          <w:szCs w:val="15"/>
        </w:rPr>
        <w:t>Vậy kết quả biểu hiện dương tính marker CD34 không mâu thuẫn với các nghiên cứu trước đó mà có tính kế thừa và mở rộng thêm thông tin về loại tế bào gốc MSC quan tâm.</w:t>
      </w:r>
      <w:proofErr w:type="gramEnd"/>
    </w:p>
    <w:p w:rsidR="00777A39" w:rsidRDefault="00777A39" w:rsidP="00777A39">
      <w:pPr>
        <w:pStyle w:val="NormalWeb"/>
        <w:spacing w:before="0" w:beforeAutospacing="0" w:after="115" w:afterAutospacing="0"/>
        <w:ind w:left="720"/>
        <w:jc w:val="both"/>
        <w:rPr>
          <w:rStyle w:val="Strong"/>
          <w:rFonts w:ascii="Arial" w:hAnsi="Arial" w:cs="Arial"/>
          <w:color w:val="333333"/>
          <w:sz w:val="15"/>
          <w:szCs w:val="15"/>
        </w:rPr>
      </w:pPr>
    </w:p>
    <w:p w:rsidR="00777A39" w:rsidRDefault="00777A39" w:rsidP="00777A39">
      <w:pPr>
        <w:pStyle w:val="NormalWeb"/>
        <w:spacing w:before="0" w:beforeAutospacing="0" w:after="115" w:afterAutospacing="0"/>
        <w:ind w:left="720" w:hanging="720"/>
        <w:jc w:val="both"/>
        <w:rPr>
          <w:rFonts w:ascii="Arial" w:hAnsi="Arial" w:cs="Arial"/>
          <w:color w:val="333333"/>
          <w:sz w:val="15"/>
          <w:szCs w:val="15"/>
        </w:rPr>
      </w:pPr>
      <w:r>
        <w:rPr>
          <w:rStyle w:val="Strong"/>
          <w:rFonts w:ascii="Arial" w:hAnsi="Arial" w:cs="Arial"/>
          <w:color w:val="333333"/>
          <w:sz w:val="15"/>
          <w:szCs w:val="15"/>
        </w:rPr>
        <w:t>KẾT LUẬN</w:t>
      </w:r>
    </w:p>
    <w:p w:rsidR="00777A39" w:rsidRDefault="00777A39" w:rsidP="00777A39">
      <w:pPr>
        <w:pStyle w:val="NormalWeb"/>
        <w:spacing w:before="0" w:beforeAutospacing="0" w:after="115" w:afterAutospacing="0"/>
        <w:jc w:val="both"/>
        <w:rPr>
          <w:rFonts w:ascii="Arial" w:hAnsi="Arial" w:cs="Arial"/>
          <w:color w:val="333333"/>
          <w:sz w:val="15"/>
          <w:szCs w:val="15"/>
        </w:rPr>
      </w:pPr>
      <w:proofErr w:type="gramStart"/>
      <w:r>
        <w:rPr>
          <w:rFonts w:ascii="Arial" w:hAnsi="Arial" w:cs="Arial"/>
          <w:color w:val="333333"/>
          <w:sz w:val="15"/>
          <w:szCs w:val="15"/>
        </w:rPr>
        <w:t>Đã phân lập thành công tế bào gốc trung mô cuống rốn người với các đặc điểm đặc trưng về hình thái tế bào, marker biểu hiện.</w:t>
      </w:r>
      <w:proofErr w:type="gramEnd"/>
      <w:r>
        <w:rPr>
          <w:rFonts w:ascii="Arial" w:hAnsi="Arial" w:cs="Arial"/>
          <w:color w:val="333333"/>
          <w:sz w:val="15"/>
          <w:szCs w:val="15"/>
        </w:rPr>
        <w:t xml:space="preserve"> Tế bào gốc </w:t>
      </w:r>
      <w:proofErr w:type="gramStart"/>
      <w:r>
        <w:rPr>
          <w:rFonts w:ascii="Arial" w:hAnsi="Arial" w:cs="Arial"/>
          <w:color w:val="333333"/>
          <w:sz w:val="15"/>
          <w:szCs w:val="15"/>
        </w:rPr>
        <w:t>thu</w:t>
      </w:r>
      <w:proofErr w:type="gramEnd"/>
      <w:r>
        <w:rPr>
          <w:rFonts w:ascii="Arial" w:hAnsi="Arial" w:cs="Arial"/>
          <w:color w:val="333333"/>
          <w:sz w:val="15"/>
          <w:szCs w:val="15"/>
        </w:rPr>
        <w:t xml:space="preserve"> được biểu hiện dương tính với marker CD34, là trường hợp không phổ biến, cần được nghiên cứu, đánh giá trân thực, khách quan trong các thí nghiệm tiếp theo.</w:t>
      </w:r>
    </w:p>
    <w:p w:rsidR="00777A39" w:rsidRDefault="00777A39" w:rsidP="00777A39">
      <w:pPr>
        <w:pStyle w:val="NormalWeb"/>
        <w:spacing w:before="0" w:beforeAutospacing="0" w:after="115" w:afterAutospacing="0"/>
        <w:jc w:val="both"/>
        <w:rPr>
          <w:rFonts w:ascii="Arial" w:hAnsi="Arial" w:cs="Arial"/>
          <w:color w:val="333333"/>
          <w:sz w:val="15"/>
          <w:szCs w:val="15"/>
        </w:rPr>
      </w:pPr>
      <w:r>
        <w:rPr>
          <w:rFonts w:ascii="Arial" w:hAnsi="Arial" w:cs="Arial"/>
          <w:color w:val="333333"/>
          <w:sz w:val="15"/>
          <w:szCs w:val="15"/>
        </w:rPr>
        <w:t> </w:t>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 </w:t>
      </w:r>
    </w:p>
    <w:p w:rsidR="00777A39" w:rsidRDefault="00777A39" w:rsidP="00777A39">
      <w:pPr>
        <w:pStyle w:val="NormalWeb"/>
        <w:spacing w:before="0" w:beforeAutospacing="0" w:after="115" w:afterAutospacing="0"/>
        <w:rPr>
          <w:rFonts w:ascii="Arial" w:hAnsi="Arial" w:cs="Arial"/>
          <w:color w:val="333333"/>
          <w:sz w:val="15"/>
          <w:szCs w:val="15"/>
        </w:rPr>
      </w:pPr>
      <w:bookmarkStart w:id="3" w:name="_ENREF_1"/>
      <w:r>
        <w:rPr>
          <w:rStyle w:val="Strong"/>
          <w:rFonts w:ascii="Arial" w:hAnsi="Arial" w:cs="Arial"/>
          <w:color w:val="000000"/>
          <w:sz w:val="15"/>
          <w:szCs w:val="15"/>
        </w:rPr>
        <w:t>Tài liệu tham khảo</w:t>
      </w:r>
      <w:bookmarkEnd w:id="3"/>
    </w:p>
    <w:p w:rsidR="00777A39" w:rsidRDefault="00777A39" w:rsidP="00777A39">
      <w:pPr>
        <w:pStyle w:val="NormalWeb"/>
        <w:spacing w:before="0" w:beforeAutospacing="0" w:after="115" w:afterAutospacing="0"/>
        <w:rPr>
          <w:rFonts w:ascii="Arial" w:hAnsi="Arial" w:cs="Arial"/>
          <w:color w:val="333333"/>
          <w:sz w:val="15"/>
          <w:szCs w:val="15"/>
        </w:rPr>
      </w:pPr>
      <w:proofErr w:type="gramStart"/>
      <w:r>
        <w:rPr>
          <w:rFonts w:ascii="Arial" w:hAnsi="Arial" w:cs="Arial"/>
          <w:color w:val="333333"/>
          <w:sz w:val="15"/>
          <w:szCs w:val="15"/>
        </w:rPr>
        <w:t>Alireza Khoshdel, A. S. L., Masoud Soleimani, Morteza Daliri, Ali Mota and Behzad Adibi (2012).</w:t>
      </w:r>
      <w:proofErr w:type="gramEnd"/>
      <w:r>
        <w:rPr>
          <w:rFonts w:ascii="Arial" w:hAnsi="Arial" w:cs="Arial"/>
          <w:color w:val="333333"/>
          <w:sz w:val="15"/>
          <w:szCs w:val="15"/>
        </w:rPr>
        <w:t xml:space="preserve"> </w:t>
      </w:r>
      <w:proofErr w:type="gramStart"/>
      <w:r>
        <w:rPr>
          <w:rFonts w:ascii="Arial" w:hAnsi="Arial" w:cs="Arial"/>
          <w:color w:val="333333"/>
          <w:sz w:val="15"/>
          <w:szCs w:val="15"/>
        </w:rPr>
        <w:t>"Evaluation of Biochemical Markers in Hepatocyte like Cells Differentiated from Adipose Derivation Stem Cells."</w:t>
      </w:r>
      <w:proofErr w:type="gramEnd"/>
      <w:r>
        <w:rPr>
          <w:rFonts w:ascii="Arial" w:hAnsi="Arial" w:cs="Arial"/>
          <w:color w:val="333333"/>
          <w:sz w:val="15"/>
          <w:szCs w:val="15"/>
        </w:rPr>
        <w:t xml:space="preserve"> World Applied Sciences Journal 16(5): 693-698.</w:t>
      </w:r>
    </w:p>
    <w:p w:rsidR="00777A39" w:rsidRDefault="00777A39" w:rsidP="00777A39">
      <w:pPr>
        <w:pStyle w:val="NormalWeb"/>
        <w:spacing w:before="0" w:beforeAutospacing="0" w:after="115" w:afterAutospacing="0"/>
        <w:rPr>
          <w:rFonts w:ascii="Arial" w:hAnsi="Arial" w:cs="Arial"/>
          <w:color w:val="333333"/>
          <w:sz w:val="15"/>
          <w:szCs w:val="15"/>
        </w:rPr>
      </w:pPr>
      <w:bookmarkStart w:id="4" w:name="_ENREF_10"/>
      <w:proofErr w:type="gramStart"/>
      <w:r>
        <w:rPr>
          <w:rFonts w:ascii="Arial" w:hAnsi="Arial" w:cs="Arial"/>
          <w:color w:val="000000"/>
          <w:sz w:val="15"/>
          <w:szCs w:val="15"/>
        </w:rPr>
        <w:t>Baksh, D., Song, L., and Tuan, R. S. (2004).</w:t>
      </w:r>
      <w:proofErr w:type="gramEnd"/>
      <w:r>
        <w:rPr>
          <w:rFonts w:ascii="Arial" w:hAnsi="Arial" w:cs="Arial"/>
          <w:color w:val="000000"/>
          <w:sz w:val="15"/>
          <w:szCs w:val="15"/>
        </w:rPr>
        <w:t xml:space="preserve"> "Adult mesenchymal stem cells: Characterization, diVerentiation, and application in cell and gene therapy."</w:t>
      </w:r>
      <w:r>
        <w:rPr>
          <w:rStyle w:val="apple-converted-space"/>
          <w:rFonts w:ascii="Arial" w:hAnsi="Arial" w:cs="Arial"/>
          <w:color w:val="000000"/>
          <w:sz w:val="15"/>
          <w:szCs w:val="15"/>
        </w:rPr>
        <w:t> </w:t>
      </w:r>
      <w:r>
        <w:rPr>
          <w:rFonts w:ascii="Arial" w:hAnsi="Arial" w:cs="Arial"/>
          <w:color w:val="000000"/>
          <w:sz w:val="15"/>
          <w:szCs w:val="15"/>
          <w:u w:val="single"/>
        </w:rPr>
        <w:t xml:space="preserve">Adult mesenchymal stem cells: Characterization, diVerentiation, and application in cell and gene </w:t>
      </w:r>
      <w:proofErr w:type="gramStart"/>
      <w:r>
        <w:rPr>
          <w:rFonts w:ascii="Arial" w:hAnsi="Arial" w:cs="Arial"/>
          <w:color w:val="000000"/>
          <w:sz w:val="15"/>
          <w:szCs w:val="15"/>
          <w:u w:val="single"/>
        </w:rPr>
        <w:t>therapy</w:t>
      </w:r>
      <w:r>
        <w:rPr>
          <w:rFonts w:ascii="Arial" w:hAnsi="Arial" w:cs="Arial"/>
          <w:color w:val="000000"/>
          <w:sz w:val="15"/>
          <w:szCs w:val="15"/>
        </w:rPr>
        <w:t>(</w:t>
      </w:r>
      <w:proofErr w:type="gramEnd"/>
      <w:r>
        <w:rPr>
          <w:rFonts w:ascii="Arial" w:hAnsi="Arial" w:cs="Arial"/>
          <w:color w:val="000000"/>
          <w:sz w:val="15"/>
          <w:szCs w:val="15"/>
        </w:rPr>
        <w:t>8): 301-316.</w:t>
      </w:r>
      <w:bookmarkEnd w:id="4"/>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Bersenev, A. (2012). "CD34 expression on human mesenchymal stromal cells."</w:t>
      </w:r>
      <w:r>
        <w:rPr>
          <w:rStyle w:val="apple-converted-space"/>
          <w:rFonts w:ascii="Arial" w:hAnsi="Arial" w:cs="Arial"/>
          <w:color w:val="333333"/>
          <w:sz w:val="15"/>
          <w:szCs w:val="15"/>
        </w:rPr>
        <w:t> </w:t>
      </w:r>
      <w:r>
        <w:rPr>
          <w:rFonts w:ascii="Arial" w:hAnsi="Arial" w:cs="Arial"/>
          <w:color w:val="333333"/>
          <w:sz w:val="15"/>
          <w:szCs w:val="15"/>
          <w:u w:val="single"/>
        </w:rPr>
        <w:t>stem cell assay</w:t>
      </w:r>
      <w:r>
        <w:rPr>
          <w:rFonts w:ascii="Arial" w:hAnsi="Arial" w:cs="Arial"/>
          <w:color w:val="333333"/>
          <w:sz w:val="15"/>
          <w:szCs w:val="15"/>
        </w:rPr>
        <w:t>.</w:t>
      </w:r>
    </w:p>
    <w:p w:rsidR="00777A39" w:rsidRDefault="00777A39" w:rsidP="00777A39">
      <w:pPr>
        <w:pStyle w:val="NormalWeb"/>
        <w:spacing w:before="0" w:beforeAutospacing="0" w:after="115" w:afterAutospacing="0"/>
        <w:rPr>
          <w:rFonts w:ascii="Arial" w:hAnsi="Arial" w:cs="Arial"/>
          <w:color w:val="333333"/>
          <w:sz w:val="15"/>
          <w:szCs w:val="15"/>
        </w:rPr>
      </w:pPr>
      <w:bookmarkStart w:id="5" w:name="_ENREF_5"/>
      <w:r>
        <w:rPr>
          <w:rFonts w:ascii="Arial" w:hAnsi="Arial" w:cs="Arial"/>
          <w:color w:val="000000"/>
          <w:sz w:val="15"/>
          <w:szCs w:val="15"/>
        </w:rPr>
        <w:lastRenderedPageBreak/>
        <w:t>De Bari C, D. A. F., Tylzanowski P, Luyten FP (2001).</w:t>
      </w:r>
      <w:r>
        <w:rPr>
          <w:rStyle w:val="apple-converted-space"/>
          <w:rFonts w:ascii="Arial" w:hAnsi="Arial" w:cs="Arial"/>
          <w:color w:val="000000"/>
          <w:sz w:val="15"/>
          <w:szCs w:val="15"/>
        </w:rPr>
        <w:t> </w:t>
      </w:r>
      <w:bookmarkEnd w:id="5"/>
      <w:proofErr w:type="gramStart"/>
      <w:r>
        <w:rPr>
          <w:rFonts w:ascii="Arial" w:hAnsi="Arial" w:cs="Arial"/>
          <w:color w:val="333333"/>
          <w:sz w:val="15"/>
          <w:szCs w:val="15"/>
        </w:rPr>
        <w:t>"Multipotent mesenchymal stem cells from adult human synovial membrane."</w:t>
      </w:r>
      <w:proofErr w:type="gramEnd"/>
      <w:r>
        <w:rPr>
          <w:rStyle w:val="apple-converted-space"/>
          <w:rFonts w:ascii="Arial" w:hAnsi="Arial" w:cs="Arial"/>
          <w:color w:val="333333"/>
          <w:sz w:val="15"/>
          <w:szCs w:val="15"/>
        </w:rPr>
        <w:t> </w:t>
      </w:r>
      <w:r>
        <w:rPr>
          <w:rFonts w:ascii="Arial" w:hAnsi="Arial" w:cs="Arial"/>
          <w:color w:val="333333"/>
          <w:sz w:val="15"/>
          <w:szCs w:val="15"/>
          <w:u w:val="single"/>
        </w:rPr>
        <w:t>ARTHRITIS &amp; RHEUMATISM</w:t>
      </w:r>
      <w:r>
        <w:rPr>
          <w:rStyle w:val="apple-converted-space"/>
          <w:rFonts w:ascii="Arial" w:hAnsi="Arial" w:cs="Arial"/>
          <w:color w:val="333333"/>
          <w:sz w:val="15"/>
          <w:szCs w:val="15"/>
        </w:rPr>
        <w:t> </w:t>
      </w:r>
      <w:r>
        <w:rPr>
          <w:rStyle w:val="Strong"/>
          <w:rFonts w:ascii="Arial" w:hAnsi="Arial" w:cs="Arial"/>
          <w:color w:val="333333"/>
          <w:sz w:val="15"/>
          <w:szCs w:val="15"/>
        </w:rPr>
        <w:t>44</w:t>
      </w:r>
      <w:r>
        <w:rPr>
          <w:rFonts w:ascii="Arial" w:hAnsi="Arial" w:cs="Arial"/>
          <w:color w:val="333333"/>
          <w:sz w:val="15"/>
          <w:szCs w:val="15"/>
        </w:rPr>
        <w:t>(8): 1928–1942.</w:t>
      </w:r>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 xml:space="preserve">Friedenstein AJ, P. K., Kurolesova AI, Frolova GP (1968). </w:t>
      </w:r>
      <w:proofErr w:type="gramStart"/>
      <w:r>
        <w:rPr>
          <w:rFonts w:ascii="Arial" w:hAnsi="Arial" w:cs="Arial"/>
          <w:color w:val="333333"/>
          <w:sz w:val="15"/>
          <w:szCs w:val="15"/>
        </w:rPr>
        <w:t>"Heterotopic of bone marrow.</w:t>
      </w:r>
      <w:proofErr w:type="gramEnd"/>
      <w:r>
        <w:rPr>
          <w:rFonts w:ascii="Arial" w:hAnsi="Arial" w:cs="Arial"/>
          <w:color w:val="333333"/>
          <w:sz w:val="15"/>
          <w:szCs w:val="15"/>
        </w:rPr>
        <w:t xml:space="preserve"> Analysis of precursor cells for osteogenic and hematopoietic tissues."</w:t>
      </w:r>
      <w:r>
        <w:rPr>
          <w:rStyle w:val="apple-converted-space"/>
          <w:rFonts w:ascii="Arial" w:hAnsi="Arial" w:cs="Arial"/>
          <w:color w:val="333333"/>
          <w:sz w:val="15"/>
          <w:szCs w:val="15"/>
        </w:rPr>
        <w:t> </w:t>
      </w:r>
      <w:r>
        <w:rPr>
          <w:rFonts w:ascii="Arial" w:hAnsi="Arial" w:cs="Arial"/>
          <w:color w:val="333333"/>
          <w:sz w:val="15"/>
          <w:szCs w:val="15"/>
          <w:u w:val="single"/>
        </w:rPr>
        <w:t>Transplantation</w:t>
      </w:r>
      <w:r>
        <w:rPr>
          <w:rStyle w:val="apple-converted-space"/>
          <w:rFonts w:ascii="Arial" w:hAnsi="Arial" w:cs="Arial"/>
          <w:color w:val="333333"/>
          <w:sz w:val="15"/>
          <w:szCs w:val="15"/>
        </w:rPr>
        <w:t> </w:t>
      </w:r>
      <w:r>
        <w:rPr>
          <w:rStyle w:val="Strong"/>
          <w:rFonts w:ascii="Arial" w:hAnsi="Arial" w:cs="Arial"/>
          <w:color w:val="333333"/>
          <w:sz w:val="15"/>
          <w:szCs w:val="15"/>
        </w:rPr>
        <w:t>6</w:t>
      </w:r>
      <w:r>
        <w:rPr>
          <w:rFonts w:ascii="Arial" w:hAnsi="Arial" w:cs="Arial"/>
          <w:color w:val="333333"/>
          <w:sz w:val="15"/>
          <w:szCs w:val="15"/>
        </w:rPr>
        <w:t>(2): 230–247</w:t>
      </w:r>
    </w:p>
    <w:p w:rsidR="00777A39" w:rsidRDefault="00777A39" w:rsidP="00777A39">
      <w:pPr>
        <w:pStyle w:val="NormalWeb"/>
        <w:spacing w:before="0" w:beforeAutospacing="0" w:after="115" w:afterAutospacing="0"/>
        <w:rPr>
          <w:rFonts w:ascii="Arial" w:hAnsi="Arial" w:cs="Arial"/>
          <w:color w:val="333333"/>
          <w:sz w:val="15"/>
          <w:szCs w:val="15"/>
        </w:rPr>
      </w:pPr>
      <w:bookmarkStart w:id="6" w:name="_ENREF_7"/>
      <w:r>
        <w:rPr>
          <w:rFonts w:ascii="Arial" w:hAnsi="Arial" w:cs="Arial"/>
          <w:color w:val="000000"/>
          <w:sz w:val="15"/>
          <w:szCs w:val="15"/>
        </w:rPr>
        <w:t>Gilbert, S. F. (</w:t>
      </w:r>
      <w:r>
        <w:rPr>
          <w:rStyle w:val="Strong"/>
          <w:rFonts w:ascii="Arial" w:hAnsi="Arial" w:cs="Arial"/>
          <w:color w:val="000000"/>
          <w:sz w:val="15"/>
          <w:szCs w:val="15"/>
        </w:rPr>
        <w:t>2006</w:t>
      </w:r>
      <w:r>
        <w:rPr>
          <w:rFonts w:ascii="Arial" w:hAnsi="Arial" w:cs="Arial"/>
          <w:color w:val="000000"/>
          <w:sz w:val="15"/>
          <w:szCs w:val="15"/>
        </w:rPr>
        <w:t>).</w:t>
      </w:r>
      <w:r>
        <w:rPr>
          <w:rStyle w:val="apple-converted-space"/>
          <w:rFonts w:ascii="Arial" w:hAnsi="Arial" w:cs="Arial"/>
          <w:color w:val="000000"/>
          <w:sz w:val="15"/>
          <w:szCs w:val="15"/>
        </w:rPr>
        <w:t> </w:t>
      </w:r>
      <w:proofErr w:type="gramStart"/>
      <w:r>
        <w:rPr>
          <w:rFonts w:ascii="Arial" w:hAnsi="Arial" w:cs="Arial"/>
          <w:color w:val="000000"/>
          <w:sz w:val="15"/>
          <w:szCs w:val="15"/>
          <w:u w:val="single"/>
        </w:rPr>
        <w:t>developmental</w:t>
      </w:r>
      <w:proofErr w:type="gramEnd"/>
      <w:r>
        <w:rPr>
          <w:rFonts w:ascii="Arial" w:hAnsi="Arial" w:cs="Arial"/>
          <w:color w:val="000000"/>
          <w:sz w:val="15"/>
          <w:szCs w:val="15"/>
          <w:u w:val="single"/>
        </w:rPr>
        <w:t xml:space="preserve"> Biology</w:t>
      </w:r>
      <w:r>
        <w:rPr>
          <w:rFonts w:ascii="Arial" w:hAnsi="Arial" w:cs="Arial"/>
          <w:color w:val="000000"/>
          <w:sz w:val="15"/>
          <w:szCs w:val="15"/>
        </w:rPr>
        <w:t>. Sunderland, Sinauer Associates.</w:t>
      </w:r>
      <w:bookmarkEnd w:id="6"/>
    </w:p>
    <w:p w:rsidR="00777A39" w:rsidRDefault="00777A39" w:rsidP="00777A39">
      <w:pPr>
        <w:pStyle w:val="NormalWeb"/>
        <w:spacing w:before="0" w:beforeAutospacing="0" w:after="115" w:afterAutospacing="0"/>
        <w:rPr>
          <w:rFonts w:ascii="Arial" w:hAnsi="Arial" w:cs="Arial"/>
          <w:color w:val="333333"/>
          <w:sz w:val="15"/>
          <w:szCs w:val="15"/>
        </w:rPr>
      </w:pPr>
      <w:bookmarkStart w:id="7" w:name="_ENREF_8"/>
      <w:r>
        <w:rPr>
          <w:rFonts w:ascii="Arial" w:hAnsi="Arial" w:cs="Arial"/>
          <w:color w:val="000000"/>
          <w:sz w:val="15"/>
          <w:szCs w:val="15"/>
        </w:rPr>
        <w:t xml:space="preserve">Gronthos S, M. M., Brahim J, Robey PG, Shi S (2000). "Postnatal human dental pulp stem cells (DPSCs) in vitro and in </w:t>
      </w:r>
      <w:proofErr w:type="gramStart"/>
      <w:r>
        <w:rPr>
          <w:rFonts w:ascii="Arial" w:hAnsi="Arial" w:cs="Arial"/>
          <w:color w:val="000000"/>
          <w:sz w:val="15"/>
          <w:szCs w:val="15"/>
        </w:rPr>
        <w:t>vivo "</w:t>
      </w:r>
      <w:proofErr w:type="gramEnd"/>
      <w:r>
        <w:rPr>
          <w:rStyle w:val="apple-converted-space"/>
          <w:rFonts w:ascii="Arial" w:hAnsi="Arial" w:cs="Arial"/>
          <w:color w:val="000000"/>
          <w:sz w:val="15"/>
          <w:szCs w:val="15"/>
        </w:rPr>
        <w:t> </w:t>
      </w:r>
      <w:r>
        <w:rPr>
          <w:rFonts w:ascii="Arial" w:hAnsi="Arial" w:cs="Arial"/>
          <w:color w:val="000000"/>
          <w:sz w:val="15"/>
          <w:szCs w:val="15"/>
          <w:u w:val="single"/>
        </w:rPr>
        <w:t>PNAS, USA</w:t>
      </w:r>
      <w:r>
        <w:rPr>
          <w:rStyle w:val="apple-converted-space"/>
          <w:rFonts w:ascii="Arial" w:hAnsi="Arial" w:cs="Arial"/>
          <w:color w:val="000000"/>
          <w:sz w:val="15"/>
          <w:szCs w:val="15"/>
        </w:rPr>
        <w:t> </w:t>
      </w:r>
      <w:r>
        <w:rPr>
          <w:rStyle w:val="Strong"/>
          <w:rFonts w:ascii="Arial" w:hAnsi="Arial" w:cs="Arial"/>
          <w:color w:val="000000"/>
          <w:sz w:val="15"/>
          <w:szCs w:val="15"/>
        </w:rPr>
        <w:t>97</w:t>
      </w:r>
      <w:r>
        <w:rPr>
          <w:rFonts w:ascii="Arial" w:hAnsi="Arial" w:cs="Arial"/>
          <w:color w:val="000000"/>
          <w:sz w:val="15"/>
          <w:szCs w:val="15"/>
        </w:rPr>
        <w:t>(25): abstract.</w:t>
      </w:r>
      <w:bookmarkEnd w:id="7"/>
    </w:p>
    <w:p w:rsidR="00777A39" w:rsidRDefault="00777A39" w:rsidP="00777A39">
      <w:pPr>
        <w:pStyle w:val="NormalWeb"/>
        <w:spacing w:before="0" w:beforeAutospacing="0" w:after="115" w:afterAutospacing="0"/>
        <w:rPr>
          <w:rFonts w:ascii="Arial" w:hAnsi="Arial" w:cs="Arial"/>
          <w:color w:val="333333"/>
          <w:sz w:val="15"/>
          <w:szCs w:val="15"/>
        </w:rPr>
      </w:pPr>
      <w:bookmarkStart w:id="8" w:name="_ENREF_9"/>
      <w:proofErr w:type="gramStart"/>
      <w:r>
        <w:rPr>
          <w:rFonts w:ascii="Arial" w:hAnsi="Arial" w:cs="Arial"/>
          <w:color w:val="000000"/>
          <w:sz w:val="15"/>
          <w:szCs w:val="15"/>
        </w:rPr>
        <w:t>Hee-Hoon Yoon, B.-Y.</w:t>
      </w:r>
      <w:proofErr w:type="gramEnd"/>
      <w:r>
        <w:rPr>
          <w:rFonts w:ascii="Arial" w:hAnsi="Arial" w:cs="Arial"/>
          <w:color w:val="000000"/>
          <w:sz w:val="15"/>
          <w:szCs w:val="15"/>
        </w:rPr>
        <w:t xml:space="preserve"> J., Young-Kwon Seo, Kye-Yong Song, Jung-Keug Park (2010). </w:t>
      </w:r>
      <w:proofErr w:type="gramStart"/>
      <w:r>
        <w:rPr>
          <w:rFonts w:ascii="Arial" w:hAnsi="Arial" w:cs="Arial"/>
          <w:color w:val="000000"/>
          <w:sz w:val="15"/>
          <w:szCs w:val="15"/>
        </w:rPr>
        <w:t>"In vitro hepatic differentiation of umbilical cord-derived mesenchymal stem cell."</w:t>
      </w:r>
      <w:proofErr w:type="gramEnd"/>
      <w:r>
        <w:rPr>
          <w:rFonts w:ascii="Arial" w:hAnsi="Arial" w:cs="Arial"/>
          <w:color w:val="000000"/>
          <w:sz w:val="15"/>
          <w:szCs w:val="15"/>
        </w:rPr>
        <w:t xml:space="preserve"> </w:t>
      </w:r>
      <w:proofErr w:type="gramStart"/>
      <w:r>
        <w:rPr>
          <w:rFonts w:ascii="Arial" w:hAnsi="Arial" w:cs="Arial"/>
          <w:color w:val="000000"/>
          <w:sz w:val="15"/>
          <w:szCs w:val="15"/>
        </w:rPr>
        <w:t>Process Biochemistry 45.</w:t>
      </w:r>
      <w:bookmarkEnd w:id="8"/>
      <w:proofErr w:type="gramEnd"/>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Hematti, P. (2013). Stem</w:t>
      </w:r>
      <w:proofErr w:type="gramStart"/>
      <w:r>
        <w:rPr>
          <w:rFonts w:ascii="Arial" w:hAnsi="Arial" w:cs="Arial"/>
          <w:color w:val="333333"/>
          <w:sz w:val="15"/>
          <w:szCs w:val="15"/>
        </w:rPr>
        <w:t>  Cell</w:t>
      </w:r>
      <w:proofErr w:type="gramEnd"/>
      <w:r>
        <w:rPr>
          <w:rFonts w:ascii="Arial" w:hAnsi="Arial" w:cs="Arial"/>
          <w:color w:val="333333"/>
          <w:sz w:val="15"/>
          <w:szCs w:val="15"/>
        </w:rPr>
        <w:t>  Biology  and  Regenerative  Medicine. P. D. Kursad Turksen. Life Sciences, Humana Press.</w:t>
      </w:r>
    </w:p>
    <w:p w:rsidR="00777A39" w:rsidRDefault="00777A39" w:rsidP="00777A39">
      <w:pPr>
        <w:pStyle w:val="NormalWeb"/>
        <w:spacing w:before="0" w:beforeAutospacing="0" w:after="115" w:afterAutospacing="0"/>
        <w:rPr>
          <w:rFonts w:ascii="Arial" w:hAnsi="Arial" w:cs="Arial"/>
          <w:color w:val="333333"/>
          <w:sz w:val="15"/>
          <w:szCs w:val="15"/>
        </w:rPr>
      </w:pPr>
      <w:bookmarkStart w:id="9" w:name="_ENREF_12"/>
      <w:r>
        <w:rPr>
          <w:rFonts w:ascii="Arial" w:hAnsi="Arial" w:cs="Arial"/>
          <w:color w:val="000000"/>
          <w:sz w:val="15"/>
          <w:szCs w:val="15"/>
        </w:rPr>
        <w:t>Lu, L. L., Liu, Y. J., Yang, S. G., Zhao, Q. J., Wang, X., Gong, W., Han, Z. B., Xu, Z. S., Lu, Y. X., Liu, D., and Z. Z. Chen, and Han, Z. C. (2006). "Isolation and characterization of human umbilical cord mesenchymal stem cells with hematopoiesis-supportive function and other potentials."</w:t>
      </w:r>
      <w:r>
        <w:rPr>
          <w:rStyle w:val="apple-converted-space"/>
          <w:rFonts w:ascii="Arial" w:hAnsi="Arial" w:cs="Arial"/>
          <w:color w:val="000000"/>
          <w:sz w:val="15"/>
          <w:szCs w:val="15"/>
        </w:rPr>
        <w:t> </w:t>
      </w:r>
      <w:r>
        <w:rPr>
          <w:rFonts w:ascii="Arial" w:hAnsi="Arial" w:cs="Arial"/>
          <w:color w:val="000000"/>
          <w:sz w:val="15"/>
          <w:szCs w:val="15"/>
          <w:u w:val="single"/>
        </w:rPr>
        <w:t>Haematologica</w:t>
      </w:r>
      <w:r>
        <w:rPr>
          <w:rStyle w:val="apple-converted-space"/>
          <w:rFonts w:ascii="Arial" w:hAnsi="Arial" w:cs="Arial"/>
          <w:color w:val="000000"/>
          <w:sz w:val="15"/>
          <w:szCs w:val="15"/>
        </w:rPr>
        <w:t> </w:t>
      </w:r>
      <w:r>
        <w:rPr>
          <w:rStyle w:val="Strong"/>
          <w:rFonts w:ascii="Arial" w:hAnsi="Arial" w:cs="Arial"/>
          <w:color w:val="000000"/>
          <w:sz w:val="15"/>
          <w:szCs w:val="15"/>
        </w:rPr>
        <w:t>91</w:t>
      </w:r>
      <w:r>
        <w:rPr>
          <w:rFonts w:ascii="Arial" w:hAnsi="Arial" w:cs="Arial"/>
          <w:color w:val="000000"/>
          <w:sz w:val="15"/>
          <w:szCs w:val="15"/>
        </w:rPr>
        <w:t>: 1017–1026.</w:t>
      </w:r>
      <w:bookmarkEnd w:id="9"/>
    </w:p>
    <w:p w:rsidR="00777A39" w:rsidRDefault="00777A39" w:rsidP="00777A39">
      <w:pPr>
        <w:pStyle w:val="NormalWeb"/>
        <w:spacing w:before="0" w:beforeAutospacing="0" w:after="115" w:afterAutospacing="0"/>
        <w:rPr>
          <w:rFonts w:ascii="Arial" w:hAnsi="Arial" w:cs="Arial"/>
          <w:color w:val="333333"/>
          <w:sz w:val="15"/>
          <w:szCs w:val="15"/>
        </w:rPr>
      </w:pPr>
      <w:bookmarkStart w:id="10" w:name="_ENREF_13"/>
      <w:r>
        <w:rPr>
          <w:rFonts w:ascii="Arial" w:hAnsi="Arial" w:cs="Arial"/>
          <w:color w:val="000000"/>
          <w:sz w:val="15"/>
          <w:szCs w:val="15"/>
        </w:rPr>
        <w:t>Mather, D. J. P. (2008). "Methods in Cell Biology."</w:t>
      </w:r>
      <w:r>
        <w:rPr>
          <w:rStyle w:val="apple-converted-space"/>
          <w:rFonts w:ascii="Arial" w:hAnsi="Arial" w:cs="Arial"/>
          <w:color w:val="000000"/>
          <w:sz w:val="15"/>
          <w:szCs w:val="15"/>
        </w:rPr>
        <w:t> </w:t>
      </w:r>
      <w:r>
        <w:rPr>
          <w:rFonts w:ascii="Arial" w:hAnsi="Arial" w:cs="Arial"/>
          <w:color w:val="000000"/>
          <w:sz w:val="15"/>
          <w:szCs w:val="15"/>
          <w:u w:val="single"/>
        </w:rPr>
        <w:t>stem cell</w:t>
      </w:r>
      <w:r>
        <w:rPr>
          <w:rStyle w:val="apple-converted-space"/>
          <w:rFonts w:ascii="Arial" w:hAnsi="Arial" w:cs="Arial"/>
          <w:color w:val="000000"/>
          <w:sz w:val="15"/>
          <w:szCs w:val="15"/>
        </w:rPr>
        <w:t> </w:t>
      </w:r>
      <w:r>
        <w:rPr>
          <w:rStyle w:val="Strong"/>
          <w:rFonts w:ascii="Arial" w:hAnsi="Arial" w:cs="Arial"/>
          <w:color w:val="000000"/>
          <w:sz w:val="15"/>
          <w:szCs w:val="15"/>
        </w:rPr>
        <w:t>64</w:t>
      </w:r>
      <w:r>
        <w:rPr>
          <w:rFonts w:ascii="Arial" w:hAnsi="Arial" w:cs="Arial"/>
          <w:color w:val="000000"/>
          <w:sz w:val="15"/>
          <w:szCs w:val="15"/>
        </w:rPr>
        <w:t>: 102-118.</w:t>
      </w:r>
      <w:bookmarkEnd w:id="10"/>
    </w:p>
    <w:p w:rsidR="00777A39" w:rsidRDefault="00777A39" w:rsidP="00777A39">
      <w:pPr>
        <w:pStyle w:val="NormalWeb"/>
        <w:spacing w:before="0" w:beforeAutospacing="0" w:after="115" w:afterAutospacing="0"/>
        <w:rPr>
          <w:rFonts w:ascii="Arial" w:hAnsi="Arial" w:cs="Arial"/>
          <w:color w:val="333333"/>
          <w:sz w:val="15"/>
          <w:szCs w:val="15"/>
        </w:rPr>
      </w:pPr>
      <w:bookmarkStart w:id="11" w:name="_ENREF_15"/>
      <w:proofErr w:type="gramStart"/>
      <w:r>
        <w:rPr>
          <w:rFonts w:ascii="Arial" w:hAnsi="Arial" w:cs="Arial"/>
          <w:color w:val="000000"/>
          <w:sz w:val="15"/>
          <w:szCs w:val="15"/>
        </w:rPr>
        <w:t>Ming</w:t>
      </w:r>
      <w:bookmarkEnd w:id="11"/>
      <w:r>
        <w:rPr>
          <w:rFonts w:ascii="Cambria Math" w:hAnsi="Cambria Math" w:cs="Cambria Math"/>
          <w:color w:val="333333"/>
          <w:sz w:val="15"/>
          <w:szCs w:val="15"/>
        </w:rPr>
        <w:t>‐</w:t>
      </w:r>
      <w:r>
        <w:rPr>
          <w:rFonts w:ascii="Arial" w:hAnsi="Arial" w:cs="Arial"/>
          <w:color w:val="333333"/>
          <w:sz w:val="15"/>
          <w:szCs w:val="15"/>
        </w:rPr>
        <w:t>Song Tsai, J. L. L., Yu</w:t>
      </w:r>
      <w:r>
        <w:rPr>
          <w:rFonts w:ascii="Cambria Math" w:hAnsi="Cambria Math" w:cs="Cambria Math"/>
          <w:color w:val="333333"/>
          <w:sz w:val="15"/>
          <w:szCs w:val="15"/>
        </w:rPr>
        <w:t>‐</w:t>
      </w:r>
      <w:r>
        <w:rPr>
          <w:rFonts w:ascii="Arial" w:hAnsi="Arial" w:cs="Arial"/>
          <w:color w:val="333333"/>
          <w:sz w:val="15"/>
          <w:szCs w:val="15"/>
        </w:rPr>
        <w:t>Jen Chang, Shiaw</w:t>
      </w:r>
      <w:r>
        <w:rPr>
          <w:rFonts w:ascii="Cambria Math" w:hAnsi="Cambria Math" w:cs="Cambria Math"/>
          <w:color w:val="333333"/>
          <w:sz w:val="15"/>
          <w:szCs w:val="15"/>
        </w:rPr>
        <w:t>‐</w:t>
      </w:r>
      <w:r>
        <w:rPr>
          <w:rFonts w:ascii="Arial" w:hAnsi="Arial" w:cs="Arial"/>
          <w:color w:val="333333"/>
          <w:sz w:val="15"/>
          <w:szCs w:val="15"/>
        </w:rPr>
        <w:t>Min Hwang (2004).</w:t>
      </w:r>
      <w:proofErr w:type="gramEnd"/>
      <w:r>
        <w:rPr>
          <w:rFonts w:ascii="Arial" w:hAnsi="Arial" w:cs="Arial"/>
          <w:color w:val="333333"/>
          <w:sz w:val="15"/>
          <w:szCs w:val="15"/>
        </w:rPr>
        <w:t xml:space="preserve"> </w:t>
      </w:r>
      <w:proofErr w:type="gramStart"/>
      <w:r>
        <w:rPr>
          <w:rFonts w:ascii="Arial" w:hAnsi="Arial" w:cs="Arial"/>
          <w:color w:val="333333"/>
          <w:sz w:val="15"/>
          <w:szCs w:val="15"/>
        </w:rPr>
        <w:t>"Isolation of human multipotent mesenchymal stem cells from second-trimester amniotic fluid using a novel two-stage culture protocol."</w:t>
      </w:r>
      <w:proofErr w:type="gramEnd"/>
      <w:r>
        <w:rPr>
          <w:rStyle w:val="apple-converted-space"/>
          <w:rFonts w:ascii="Arial" w:hAnsi="Arial" w:cs="Arial"/>
          <w:color w:val="333333"/>
          <w:sz w:val="15"/>
          <w:szCs w:val="15"/>
        </w:rPr>
        <w:t> </w:t>
      </w:r>
      <w:r>
        <w:rPr>
          <w:rFonts w:ascii="Arial" w:hAnsi="Arial" w:cs="Arial"/>
          <w:color w:val="333333"/>
          <w:sz w:val="15"/>
          <w:szCs w:val="15"/>
          <w:u w:val="single"/>
        </w:rPr>
        <w:t>Human Reproduction</w:t>
      </w:r>
      <w:r>
        <w:rPr>
          <w:rStyle w:val="apple-converted-space"/>
          <w:rFonts w:ascii="Arial" w:hAnsi="Arial" w:cs="Arial"/>
          <w:color w:val="333333"/>
          <w:sz w:val="15"/>
          <w:szCs w:val="15"/>
        </w:rPr>
        <w:t> </w:t>
      </w:r>
      <w:r>
        <w:rPr>
          <w:rStyle w:val="Strong"/>
          <w:rFonts w:ascii="Arial" w:hAnsi="Arial" w:cs="Arial"/>
          <w:color w:val="333333"/>
          <w:sz w:val="15"/>
          <w:szCs w:val="15"/>
        </w:rPr>
        <w:t>19</w:t>
      </w:r>
      <w:r>
        <w:rPr>
          <w:rFonts w:ascii="Arial" w:hAnsi="Arial" w:cs="Arial"/>
          <w:color w:val="333333"/>
          <w:sz w:val="15"/>
          <w:szCs w:val="15"/>
        </w:rPr>
        <w:t>(6): 1450-1456.</w:t>
      </w:r>
    </w:p>
    <w:p w:rsidR="00777A39" w:rsidRDefault="00777A39" w:rsidP="00777A39">
      <w:pPr>
        <w:pStyle w:val="NormalWeb"/>
        <w:spacing w:before="0" w:beforeAutospacing="0" w:after="115" w:afterAutospacing="0"/>
        <w:rPr>
          <w:rFonts w:ascii="Arial" w:hAnsi="Arial" w:cs="Arial"/>
          <w:color w:val="333333"/>
          <w:sz w:val="15"/>
          <w:szCs w:val="15"/>
        </w:rPr>
      </w:pPr>
      <w:bookmarkStart w:id="12" w:name="_ENREF_16"/>
      <w:proofErr w:type="gramStart"/>
      <w:r>
        <w:rPr>
          <w:rFonts w:ascii="Arial" w:hAnsi="Arial" w:cs="Arial"/>
          <w:color w:val="000000"/>
          <w:sz w:val="15"/>
          <w:szCs w:val="15"/>
        </w:rPr>
        <w:t>Oscar K. Lee, T. K. K., Wei-Ming Chen, Kuan-Der Lee, Shie-Liang Hsieh, and Tain-Hsiung Chen (2004).</w:t>
      </w:r>
      <w:proofErr w:type="gramEnd"/>
      <w:r>
        <w:rPr>
          <w:rFonts w:ascii="Arial" w:hAnsi="Arial" w:cs="Arial"/>
          <w:color w:val="000000"/>
          <w:sz w:val="15"/>
          <w:szCs w:val="15"/>
        </w:rPr>
        <w:t xml:space="preserve"> </w:t>
      </w:r>
      <w:proofErr w:type="gramStart"/>
      <w:r>
        <w:rPr>
          <w:rFonts w:ascii="Arial" w:hAnsi="Arial" w:cs="Arial"/>
          <w:color w:val="000000"/>
          <w:sz w:val="15"/>
          <w:szCs w:val="15"/>
        </w:rPr>
        <w:t>"Isolation of multipotent mesenchymal stem cells from umbilical cord blood."</w:t>
      </w:r>
      <w:proofErr w:type="gramEnd"/>
      <w:r>
        <w:rPr>
          <w:rStyle w:val="apple-converted-space"/>
          <w:rFonts w:ascii="Arial" w:hAnsi="Arial" w:cs="Arial"/>
          <w:color w:val="000000"/>
          <w:sz w:val="15"/>
          <w:szCs w:val="15"/>
        </w:rPr>
        <w:t> </w:t>
      </w:r>
      <w:proofErr w:type="gramStart"/>
      <w:r>
        <w:rPr>
          <w:rFonts w:ascii="Arial" w:hAnsi="Arial" w:cs="Arial"/>
          <w:color w:val="000000"/>
          <w:sz w:val="15"/>
          <w:szCs w:val="15"/>
          <w:u w:val="single"/>
        </w:rPr>
        <w:t>HEMATOPOIESIS</w:t>
      </w:r>
      <w:r>
        <w:rPr>
          <w:rStyle w:val="apple-converted-space"/>
          <w:rFonts w:ascii="Arial" w:hAnsi="Arial" w:cs="Arial"/>
          <w:color w:val="000000"/>
          <w:sz w:val="15"/>
          <w:szCs w:val="15"/>
        </w:rPr>
        <w:t> </w:t>
      </w:r>
      <w:r>
        <w:rPr>
          <w:rStyle w:val="Strong"/>
          <w:rFonts w:ascii="Arial" w:hAnsi="Arial" w:cs="Arial"/>
          <w:color w:val="000000"/>
          <w:sz w:val="15"/>
          <w:szCs w:val="15"/>
        </w:rPr>
        <w:t>103</w:t>
      </w:r>
      <w:r>
        <w:rPr>
          <w:rFonts w:ascii="Arial" w:hAnsi="Arial" w:cs="Arial"/>
          <w:color w:val="000000"/>
          <w:sz w:val="15"/>
          <w:szCs w:val="15"/>
        </w:rPr>
        <w:t>(5).</w:t>
      </w:r>
      <w:bookmarkEnd w:id="12"/>
      <w:proofErr w:type="gramEnd"/>
    </w:p>
    <w:p w:rsidR="00777A39" w:rsidRDefault="00777A39" w:rsidP="00777A39">
      <w:pPr>
        <w:pStyle w:val="NormalWeb"/>
        <w:spacing w:before="0" w:beforeAutospacing="0" w:after="115" w:afterAutospacing="0"/>
        <w:rPr>
          <w:rFonts w:ascii="Arial" w:hAnsi="Arial" w:cs="Arial"/>
          <w:color w:val="333333"/>
          <w:sz w:val="15"/>
          <w:szCs w:val="15"/>
        </w:rPr>
      </w:pPr>
      <w:bookmarkStart w:id="13" w:name="_ENREF_18"/>
      <w:r>
        <w:rPr>
          <w:rFonts w:ascii="Arial" w:hAnsi="Arial" w:cs="Arial"/>
          <w:color w:val="000000"/>
          <w:sz w:val="15"/>
          <w:szCs w:val="15"/>
        </w:rPr>
        <w:t xml:space="preserve">Peiman Hematti, A. K. (2013). </w:t>
      </w:r>
      <w:proofErr w:type="gramStart"/>
      <w:r>
        <w:rPr>
          <w:rFonts w:ascii="Arial" w:hAnsi="Arial" w:cs="Arial"/>
          <w:color w:val="000000"/>
          <w:sz w:val="15"/>
          <w:szCs w:val="15"/>
        </w:rPr>
        <w:t>Mesenchymal Stromal Cells-Biology and Clinical Applications.</w:t>
      </w:r>
      <w:proofErr w:type="gramEnd"/>
      <w:r>
        <w:rPr>
          <w:rFonts w:ascii="Arial" w:hAnsi="Arial" w:cs="Arial"/>
          <w:color w:val="000000"/>
          <w:sz w:val="15"/>
          <w:szCs w:val="15"/>
        </w:rPr>
        <w:t xml:space="preserve"> London, Library of Congress</w:t>
      </w:r>
      <w:bookmarkEnd w:id="13"/>
    </w:p>
    <w:p w:rsidR="00777A39" w:rsidRDefault="00777A39" w:rsidP="00777A39">
      <w:pPr>
        <w:pStyle w:val="NormalWeb"/>
        <w:spacing w:before="0" w:beforeAutospacing="0" w:after="115" w:afterAutospacing="0"/>
        <w:rPr>
          <w:rFonts w:ascii="Arial" w:hAnsi="Arial" w:cs="Arial"/>
          <w:color w:val="333333"/>
          <w:sz w:val="15"/>
          <w:szCs w:val="15"/>
        </w:rPr>
      </w:pPr>
      <w:bookmarkStart w:id="14" w:name="_ENREF_19"/>
      <w:proofErr w:type="gramStart"/>
      <w:r>
        <w:rPr>
          <w:rFonts w:ascii="Arial" w:hAnsi="Arial" w:cs="Arial"/>
          <w:color w:val="000000"/>
          <w:sz w:val="15"/>
          <w:szCs w:val="15"/>
        </w:rPr>
        <w:t>Phan Kim Ngọc, P. V. P., Trương Định (2009).</w:t>
      </w:r>
      <w:proofErr w:type="gramEnd"/>
      <w:r>
        <w:rPr>
          <w:rFonts w:ascii="Arial" w:hAnsi="Arial" w:cs="Arial"/>
          <w:color w:val="000000"/>
          <w:sz w:val="15"/>
          <w:szCs w:val="15"/>
        </w:rPr>
        <w:t xml:space="preserve"> </w:t>
      </w:r>
      <w:proofErr w:type="gramStart"/>
      <w:r>
        <w:rPr>
          <w:rFonts w:ascii="Arial" w:hAnsi="Arial" w:cs="Arial"/>
          <w:color w:val="000000"/>
          <w:sz w:val="15"/>
          <w:szCs w:val="15"/>
        </w:rPr>
        <w:t>Công nghệ Tế bào gốc.</w:t>
      </w:r>
      <w:proofErr w:type="gramEnd"/>
      <w:r>
        <w:rPr>
          <w:rFonts w:ascii="Arial" w:hAnsi="Arial" w:cs="Arial"/>
          <w:color w:val="000000"/>
          <w:sz w:val="15"/>
          <w:szCs w:val="15"/>
        </w:rPr>
        <w:t xml:space="preserve"> N. G. d. V. Nam. Vietnam.</w:t>
      </w:r>
      <w:bookmarkEnd w:id="14"/>
    </w:p>
    <w:p w:rsidR="00777A39" w:rsidRDefault="00777A39" w:rsidP="00777A39">
      <w:pPr>
        <w:pStyle w:val="NormalWeb"/>
        <w:spacing w:before="0" w:beforeAutospacing="0" w:after="115" w:afterAutospacing="0"/>
        <w:rPr>
          <w:rFonts w:ascii="Arial" w:hAnsi="Arial" w:cs="Arial"/>
          <w:color w:val="333333"/>
          <w:sz w:val="15"/>
          <w:szCs w:val="15"/>
        </w:rPr>
      </w:pPr>
      <w:r>
        <w:rPr>
          <w:rFonts w:ascii="Arial" w:hAnsi="Arial" w:cs="Arial"/>
          <w:color w:val="333333"/>
          <w:sz w:val="15"/>
          <w:szCs w:val="15"/>
        </w:rPr>
        <w:tab/>
        <w:t>Trần Thúy, Phạm Duy Nhạc, Hoàng Bảo Châu (2005)</w:t>
      </w:r>
      <w:r>
        <w:rPr>
          <w:rStyle w:val="apple-converted-space"/>
          <w:rFonts w:ascii="Arial" w:hAnsi="Arial" w:cs="Arial"/>
          <w:color w:val="333333"/>
          <w:sz w:val="15"/>
          <w:szCs w:val="15"/>
        </w:rPr>
        <w:t> </w:t>
      </w:r>
      <w:r>
        <w:rPr>
          <w:rStyle w:val="Emphasis"/>
          <w:rFonts w:ascii="Arial" w:hAnsi="Arial" w:cs="Arial"/>
          <w:color w:val="333333"/>
          <w:sz w:val="15"/>
          <w:szCs w:val="15"/>
        </w:rPr>
        <w:t>Bài giảng y học cổ truyền tập 1</w:t>
      </w:r>
      <w:r>
        <w:rPr>
          <w:rFonts w:ascii="Arial" w:hAnsi="Arial" w:cs="Arial"/>
          <w:color w:val="333333"/>
          <w:sz w:val="15"/>
          <w:szCs w:val="15"/>
        </w:rPr>
        <w:t>, NXB Y học, tr 277-278.</w:t>
      </w:r>
    </w:p>
    <w:p w:rsidR="00777A39" w:rsidRDefault="00777A39" w:rsidP="00777A39">
      <w:pPr>
        <w:pStyle w:val="NormalWeb"/>
        <w:spacing w:before="0" w:beforeAutospacing="0" w:after="115" w:afterAutospacing="0"/>
        <w:rPr>
          <w:rFonts w:ascii="Arial" w:hAnsi="Arial" w:cs="Arial"/>
          <w:color w:val="333333"/>
          <w:sz w:val="15"/>
          <w:szCs w:val="15"/>
        </w:rPr>
      </w:pPr>
      <w:bookmarkStart w:id="15" w:name="_ENREF_21"/>
      <w:proofErr w:type="gramStart"/>
      <w:r>
        <w:rPr>
          <w:rFonts w:ascii="Arial" w:hAnsi="Arial" w:cs="Arial"/>
          <w:color w:val="000000"/>
          <w:sz w:val="15"/>
          <w:szCs w:val="15"/>
        </w:rPr>
        <w:t>Tuan, R. S., Boland, G., and Tuli, R. (2003).</w:t>
      </w:r>
      <w:proofErr w:type="gramEnd"/>
      <w:r>
        <w:rPr>
          <w:rFonts w:ascii="Arial" w:hAnsi="Arial" w:cs="Arial"/>
          <w:color w:val="000000"/>
          <w:sz w:val="15"/>
          <w:szCs w:val="15"/>
        </w:rPr>
        <w:t xml:space="preserve"> </w:t>
      </w:r>
      <w:proofErr w:type="gramStart"/>
      <w:r>
        <w:rPr>
          <w:rFonts w:ascii="Arial" w:hAnsi="Arial" w:cs="Arial"/>
          <w:color w:val="000000"/>
          <w:sz w:val="15"/>
          <w:szCs w:val="15"/>
        </w:rPr>
        <w:t>"Adult mesenchymal stem cells and cell-based tissue engineering."</w:t>
      </w:r>
      <w:proofErr w:type="gramEnd"/>
      <w:r>
        <w:rPr>
          <w:rStyle w:val="apple-converted-space"/>
          <w:rFonts w:ascii="Arial" w:hAnsi="Arial" w:cs="Arial"/>
          <w:color w:val="000000"/>
          <w:sz w:val="15"/>
          <w:szCs w:val="15"/>
        </w:rPr>
        <w:t> </w:t>
      </w:r>
      <w:r>
        <w:rPr>
          <w:rFonts w:ascii="Arial" w:hAnsi="Arial" w:cs="Arial"/>
          <w:color w:val="000000"/>
          <w:sz w:val="15"/>
          <w:szCs w:val="15"/>
          <w:u w:val="single"/>
        </w:rPr>
        <w:t xml:space="preserve">Arthritis </w:t>
      </w:r>
      <w:proofErr w:type="gramStart"/>
      <w:r>
        <w:rPr>
          <w:rFonts w:ascii="Arial" w:hAnsi="Arial" w:cs="Arial"/>
          <w:color w:val="000000"/>
          <w:sz w:val="15"/>
          <w:szCs w:val="15"/>
          <w:u w:val="single"/>
        </w:rPr>
        <w:t>Res</w:t>
      </w:r>
      <w:r>
        <w:rPr>
          <w:rFonts w:ascii="Arial" w:hAnsi="Arial" w:cs="Arial"/>
          <w:color w:val="000000"/>
          <w:sz w:val="15"/>
          <w:szCs w:val="15"/>
        </w:rPr>
        <w:t>(</w:t>
      </w:r>
      <w:proofErr w:type="gramEnd"/>
      <w:r>
        <w:rPr>
          <w:rFonts w:ascii="Arial" w:hAnsi="Arial" w:cs="Arial"/>
          <w:color w:val="000000"/>
          <w:sz w:val="15"/>
          <w:szCs w:val="15"/>
        </w:rPr>
        <w:t>5): 32–45.</w:t>
      </w:r>
      <w:bookmarkEnd w:id="15"/>
    </w:p>
    <w:p w:rsidR="00777A39" w:rsidRDefault="00777A39" w:rsidP="00777A39">
      <w:pPr>
        <w:pStyle w:val="NormalWeb"/>
        <w:spacing w:before="0" w:beforeAutospacing="0" w:after="115" w:afterAutospacing="0"/>
        <w:rPr>
          <w:rFonts w:ascii="Arial" w:hAnsi="Arial" w:cs="Arial"/>
          <w:color w:val="333333"/>
          <w:sz w:val="15"/>
          <w:szCs w:val="15"/>
        </w:rPr>
      </w:pPr>
      <w:bookmarkStart w:id="16" w:name="_ENREF_23"/>
      <w:r>
        <w:rPr>
          <w:rFonts w:ascii="Arial" w:hAnsi="Arial" w:cs="Arial"/>
          <w:color w:val="000000"/>
          <w:sz w:val="15"/>
          <w:szCs w:val="15"/>
        </w:rPr>
        <w:t>Weiss, M. L., Medicetty, S., Bledsoe, A. R., Rachakatla, R. S., Choi, M., Merchav, S., Luo, Y., Rao, M. S., Velagaleti, G., and Troyer, D. (2006). "Human umbilical cord matrix stem cells: Preliminary characterization and eVect of transplantation in a rodent model of Parkinson’s disease."</w:t>
      </w:r>
      <w:r>
        <w:rPr>
          <w:rStyle w:val="apple-converted-space"/>
          <w:rFonts w:ascii="Arial" w:hAnsi="Arial" w:cs="Arial"/>
          <w:color w:val="000000"/>
          <w:sz w:val="15"/>
          <w:szCs w:val="15"/>
        </w:rPr>
        <w:t> </w:t>
      </w:r>
      <w:r>
        <w:rPr>
          <w:rFonts w:ascii="Arial" w:hAnsi="Arial" w:cs="Arial"/>
          <w:color w:val="000000"/>
          <w:sz w:val="15"/>
          <w:szCs w:val="15"/>
          <w:u w:val="single"/>
        </w:rPr>
        <w:t>Stem Cells</w:t>
      </w:r>
      <w:r>
        <w:rPr>
          <w:rStyle w:val="Strong"/>
          <w:rFonts w:ascii="Arial" w:hAnsi="Arial" w:cs="Arial"/>
          <w:color w:val="000000"/>
          <w:sz w:val="15"/>
          <w:szCs w:val="15"/>
        </w:rPr>
        <w:t>24</w:t>
      </w:r>
      <w:r>
        <w:rPr>
          <w:rFonts w:ascii="Arial" w:hAnsi="Arial" w:cs="Arial"/>
          <w:color w:val="000000"/>
          <w:sz w:val="15"/>
          <w:szCs w:val="15"/>
        </w:rPr>
        <w:t>: 781–792.</w:t>
      </w:r>
      <w:bookmarkEnd w:id="16"/>
    </w:p>
    <w:p w:rsidR="00777A39" w:rsidRDefault="00777A39" w:rsidP="00777A39">
      <w:pPr>
        <w:pStyle w:val="NormalWeb"/>
        <w:spacing w:before="0" w:beforeAutospacing="0" w:after="115" w:afterAutospacing="0"/>
        <w:rPr>
          <w:rFonts w:ascii="Arial" w:hAnsi="Arial" w:cs="Arial"/>
          <w:color w:val="333333"/>
          <w:sz w:val="15"/>
          <w:szCs w:val="15"/>
        </w:rPr>
      </w:pPr>
      <w:bookmarkStart w:id="17" w:name="_ENREF_24"/>
      <w:r>
        <w:rPr>
          <w:rFonts w:ascii="Arial" w:hAnsi="Arial" w:cs="Arial"/>
          <w:color w:val="000000"/>
          <w:sz w:val="15"/>
          <w:szCs w:val="15"/>
        </w:rPr>
        <w:t>Williams JT, S. S., Souza J, Calcutt AF, Cartledge RG (1999). "Cells isolated from adult human skeletal muscle capable of differentiating into multiple mesodermal phenotypes."</w:t>
      </w:r>
      <w:r>
        <w:rPr>
          <w:rStyle w:val="apple-converted-space"/>
          <w:rFonts w:ascii="Arial" w:hAnsi="Arial" w:cs="Arial"/>
          <w:color w:val="000000"/>
          <w:sz w:val="15"/>
          <w:szCs w:val="15"/>
        </w:rPr>
        <w:t> </w:t>
      </w:r>
      <w:r>
        <w:rPr>
          <w:rFonts w:ascii="Arial" w:hAnsi="Arial" w:cs="Arial"/>
          <w:color w:val="000000"/>
          <w:sz w:val="15"/>
          <w:szCs w:val="15"/>
          <w:u w:val="single"/>
        </w:rPr>
        <w:t>Pubmed</w:t>
      </w:r>
      <w:r>
        <w:rPr>
          <w:rStyle w:val="apple-converted-space"/>
          <w:rFonts w:ascii="Arial" w:hAnsi="Arial" w:cs="Arial"/>
          <w:color w:val="000000"/>
          <w:sz w:val="15"/>
          <w:szCs w:val="15"/>
        </w:rPr>
        <w:t> </w:t>
      </w:r>
      <w:r>
        <w:rPr>
          <w:rStyle w:val="Strong"/>
          <w:rFonts w:ascii="Arial" w:hAnsi="Arial" w:cs="Arial"/>
          <w:color w:val="000000"/>
          <w:sz w:val="15"/>
          <w:szCs w:val="15"/>
        </w:rPr>
        <w:t>65</w:t>
      </w:r>
      <w:r>
        <w:rPr>
          <w:rFonts w:ascii="Arial" w:hAnsi="Arial" w:cs="Arial"/>
          <w:color w:val="000000"/>
          <w:sz w:val="15"/>
          <w:szCs w:val="15"/>
        </w:rPr>
        <w:t>(1): abstract.</w:t>
      </w:r>
      <w:bookmarkEnd w:id="17"/>
    </w:p>
    <w:p w:rsidR="00777A39" w:rsidRDefault="00777A39" w:rsidP="00777A39">
      <w:pPr>
        <w:pStyle w:val="NormalWeb"/>
        <w:spacing w:before="0" w:beforeAutospacing="0" w:after="115" w:afterAutospacing="0"/>
        <w:rPr>
          <w:rFonts w:ascii="Arial" w:hAnsi="Arial" w:cs="Arial"/>
          <w:color w:val="000000"/>
          <w:sz w:val="15"/>
          <w:szCs w:val="15"/>
        </w:rPr>
      </w:pPr>
      <w:bookmarkStart w:id="18" w:name="_ENREF_25"/>
      <w:r>
        <w:rPr>
          <w:rFonts w:ascii="Arial" w:hAnsi="Arial" w:cs="Arial"/>
          <w:color w:val="000000"/>
          <w:sz w:val="15"/>
          <w:szCs w:val="15"/>
        </w:rPr>
        <w:t>Zuk PA, Z. M., Mizuno H, Huang J, Futrell JW, Katz AJ et al (2001). "Multilineage cells from human adipose tissue: implications for cell-based therapies." TISSUE ENGINEERING 7(2): 211–228.</w:t>
      </w:r>
      <w:bookmarkEnd w:id="18"/>
    </w:p>
    <w:p w:rsidR="00777A39" w:rsidRDefault="00777A39" w:rsidP="00777A39">
      <w:pPr>
        <w:pStyle w:val="NormalWeb"/>
        <w:spacing w:before="0" w:beforeAutospacing="0" w:after="115" w:afterAutospacing="0"/>
        <w:rPr>
          <w:rFonts w:ascii="Arial" w:hAnsi="Arial" w:cs="Arial"/>
          <w:color w:val="000000"/>
          <w:sz w:val="15"/>
          <w:szCs w:val="15"/>
        </w:rPr>
      </w:pPr>
    </w:p>
    <w:p w:rsidR="00777A39" w:rsidRPr="00777A39" w:rsidRDefault="00777A39" w:rsidP="00777A39">
      <w:pPr>
        <w:pStyle w:val="NormalWeb"/>
        <w:spacing w:before="0" w:beforeAutospacing="0" w:after="115" w:afterAutospacing="0"/>
        <w:rPr>
          <w:rFonts w:ascii="Arial" w:hAnsi="Arial" w:cs="Arial"/>
          <w:i/>
          <w:color w:val="333333"/>
          <w:sz w:val="16"/>
          <w:szCs w:val="16"/>
        </w:rPr>
      </w:pPr>
      <w:r w:rsidRPr="00777A39">
        <w:rPr>
          <w:rFonts w:ascii="Arial" w:hAnsi="Arial" w:cs="Arial"/>
          <w:i/>
          <w:color w:val="333333"/>
          <w:sz w:val="16"/>
          <w:szCs w:val="16"/>
        </w:rPr>
        <w:t xml:space="preserve"> Theo </w:t>
      </w:r>
      <w:hyperlink r:id="rId23" w:history="1">
        <w:r w:rsidRPr="00777A39">
          <w:rPr>
            <w:rStyle w:val="Hyperlink"/>
            <w:rFonts w:ascii="Arial" w:hAnsi="Arial" w:cs="Arial"/>
            <w:i/>
            <w:sz w:val="16"/>
            <w:szCs w:val="16"/>
          </w:rPr>
          <w:t>http://tuaf.edu.vn/khoacnsh/bai-viet/phan-lap-te-bao-goc-trung-mo-cuong-ron-va-hien-tuong-duong-tinh-gene-cd34-13185.html</w:t>
        </w:r>
      </w:hyperlink>
    </w:p>
    <w:p w:rsidR="00777A39" w:rsidRPr="00777A39" w:rsidRDefault="00777A39" w:rsidP="00777A39">
      <w:pPr>
        <w:pStyle w:val="NormalWeb"/>
        <w:spacing w:before="0" w:beforeAutospacing="0" w:after="115" w:afterAutospacing="0"/>
        <w:rPr>
          <w:rFonts w:ascii="Arial" w:hAnsi="Arial" w:cs="Arial"/>
          <w:i/>
          <w:color w:val="333333"/>
          <w:sz w:val="16"/>
          <w:szCs w:val="16"/>
        </w:rPr>
      </w:pPr>
    </w:p>
    <w:p w:rsidR="00777A39" w:rsidRPr="00777A39" w:rsidRDefault="00777A39" w:rsidP="00777A39">
      <w:pPr>
        <w:spacing w:line="240" w:lineRule="auto"/>
      </w:pPr>
    </w:p>
    <w:sectPr w:rsidR="00777A39" w:rsidRPr="00777A39" w:rsidSect="00583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34E"/>
    <w:multiLevelType w:val="multilevel"/>
    <w:tmpl w:val="81DA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45C49"/>
    <w:multiLevelType w:val="hybridMultilevel"/>
    <w:tmpl w:val="7AF0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F57168"/>
    <w:rsid w:val="000B7D1A"/>
    <w:rsid w:val="00400A99"/>
    <w:rsid w:val="005837AC"/>
    <w:rsid w:val="00615D93"/>
    <w:rsid w:val="006C4896"/>
    <w:rsid w:val="00777A39"/>
    <w:rsid w:val="008756AD"/>
    <w:rsid w:val="008A7B40"/>
    <w:rsid w:val="008B2B2E"/>
    <w:rsid w:val="00AC0EE3"/>
    <w:rsid w:val="00B80E23"/>
    <w:rsid w:val="00DA663A"/>
    <w:rsid w:val="00E91E5D"/>
    <w:rsid w:val="00F57168"/>
    <w:rsid w:val="00F72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AC"/>
  </w:style>
  <w:style w:type="paragraph" w:styleId="Heading1">
    <w:name w:val="heading 1"/>
    <w:basedOn w:val="Normal"/>
    <w:link w:val="Heading1Char"/>
    <w:uiPriority w:val="9"/>
    <w:qFormat/>
    <w:rsid w:val="00777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7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68"/>
    <w:rPr>
      <w:color w:val="0000FF" w:themeColor="hyperlink"/>
      <w:u w:val="single"/>
    </w:rPr>
  </w:style>
  <w:style w:type="paragraph" w:styleId="ListParagraph">
    <w:name w:val="List Paragraph"/>
    <w:basedOn w:val="Normal"/>
    <w:uiPriority w:val="34"/>
    <w:qFormat/>
    <w:rsid w:val="00F72886"/>
    <w:pPr>
      <w:ind w:left="720"/>
      <w:contextualSpacing/>
    </w:pPr>
  </w:style>
  <w:style w:type="paragraph" w:styleId="BalloonText">
    <w:name w:val="Balloon Text"/>
    <w:basedOn w:val="Normal"/>
    <w:link w:val="BalloonTextChar"/>
    <w:uiPriority w:val="99"/>
    <w:semiHidden/>
    <w:unhideWhenUsed/>
    <w:rsid w:val="0077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39"/>
    <w:rPr>
      <w:rFonts w:ascii="Tahoma" w:hAnsi="Tahoma" w:cs="Tahoma"/>
      <w:sz w:val="16"/>
      <w:szCs w:val="16"/>
    </w:rPr>
  </w:style>
  <w:style w:type="character" w:customStyle="1" w:styleId="Heading1Char">
    <w:name w:val="Heading 1 Char"/>
    <w:basedOn w:val="DefaultParagraphFont"/>
    <w:link w:val="Heading1"/>
    <w:uiPriority w:val="9"/>
    <w:rsid w:val="00777A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7A39"/>
    <w:rPr>
      <w:rFonts w:ascii="Times New Roman" w:eastAsia="Times New Roman" w:hAnsi="Times New Roman" w:cs="Times New Roman"/>
      <w:b/>
      <w:bCs/>
      <w:sz w:val="36"/>
      <w:szCs w:val="36"/>
    </w:rPr>
  </w:style>
  <w:style w:type="paragraph" w:styleId="NormalWeb">
    <w:name w:val="Normal (Web)"/>
    <w:basedOn w:val="Normal"/>
    <w:uiPriority w:val="99"/>
    <w:unhideWhenUsed/>
    <w:rsid w:val="00777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A39"/>
    <w:rPr>
      <w:b/>
      <w:bCs/>
    </w:rPr>
  </w:style>
  <w:style w:type="character" w:customStyle="1" w:styleId="apple-converted-space">
    <w:name w:val="apple-converted-space"/>
    <w:basedOn w:val="DefaultParagraphFont"/>
    <w:rsid w:val="00777A39"/>
  </w:style>
  <w:style w:type="character" w:styleId="Emphasis">
    <w:name w:val="Emphasis"/>
    <w:basedOn w:val="DefaultParagraphFont"/>
    <w:uiPriority w:val="20"/>
    <w:qFormat/>
    <w:rsid w:val="00777A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68"/>
    <w:rPr>
      <w:color w:val="0000FF" w:themeColor="hyperlink"/>
      <w:u w:val="single"/>
    </w:rPr>
  </w:style>
  <w:style w:type="paragraph" w:styleId="ListParagraph">
    <w:name w:val="List Paragraph"/>
    <w:basedOn w:val="Normal"/>
    <w:uiPriority w:val="34"/>
    <w:qFormat/>
    <w:rsid w:val="00F72886"/>
    <w:pPr>
      <w:ind w:left="720"/>
      <w:contextualSpacing/>
    </w:pPr>
  </w:style>
</w:styles>
</file>

<file path=word/webSettings.xml><?xml version="1.0" encoding="utf-8"?>
<w:webSettings xmlns:r="http://schemas.openxmlformats.org/officeDocument/2006/relationships" xmlns:w="http://schemas.openxmlformats.org/wordprocessingml/2006/main">
  <w:divs>
    <w:div w:id="734162235">
      <w:bodyDiv w:val="1"/>
      <w:marLeft w:val="0"/>
      <w:marRight w:val="0"/>
      <w:marTop w:val="0"/>
      <w:marBottom w:val="0"/>
      <w:divBdr>
        <w:top w:val="none" w:sz="0" w:space="0" w:color="auto"/>
        <w:left w:val="none" w:sz="0" w:space="0" w:color="auto"/>
        <w:bottom w:val="none" w:sz="0" w:space="0" w:color="auto"/>
        <w:right w:val="none" w:sz="0" w:space="0" w:color="auto"/>
      </w:divBdr>
      <w:divsChild>
        <w:div w:id="936790531">
          <w:marLeft w:val="0"/>
          <w:marRight w:val="0"/>
          <w:marTop w:val="115"/>
          <w:marBottom w:val="0"/>
          <w:divBdr>
            <w:top w:val="none" w:sz="0" w:space="0" w:color="auto"/>
            <w:left w:val="none" w:sz="0" w:space="0" w:color="auto"/>
            <w:bottom w:val="none" w:sz="0" w:space="0" w:color="auto"/>
            <w:right w:val="none" w:sz="0" w:space="0" w:color="auto"/>
          </w:divBdr>
        </w:div>
        <w:div w:id="2053773735">
          <w:marLeft w:val="0"/>
          <w:marRight w:val="0"/>
          <w:marTop w:val="0"/>
          <w:marBottom w:val="115"/>
          <w:divBdr>
            <w:top w:val="none" w:sz="0" w:space="0" w:color="auto"/>
            <w:left w:val="single" w:sz="48" w:space="6" w:color="003399"/>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mcns@gmail.com" TargetMode="External"/><Relationship Id="rId13" Type="http://schemas.openxmlformats.org/officeDocument/2006/relationships/hyperlink" Target="http://tuaf.edu.vn/khoacnsh/bai-viet/phan-lap-te-bao-goc-trung-mo-cuong-ron-va-hien-tuong-duong-tinh-gene-cd34-13185.html" TargetMode="External"/><Relationship Id="rId18" Type="http://schemas.openxmlformats.org/officeDocument/2006/relationships/hyperlink" Target="http://tuaf.edu.vn/khoacnsh/bai-viet/phan-lap-te-bao-goc-trung-mo-cuong-ron-va-hien-tuong-duong-tinh-gene-cd34-13185.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hyperlink" Target="mailto:hanhcnp@yahoo.com" TargetMode="External"/><Relationship Id="rId12" Type="http://schemas.openxmlformats.org/officeDocument/2006/relationships/hyperlink" Target="http://tuaf.edu.vn/khoacnsh/bai-viet/phan-lap-te-bao-goc-trung-mo-cuong-ron-va-hien-tuong-duong-tinh-gene-cd34-13185.html" TargetMode="External"/><Relationship Id="rId17" Type="http://schemas.openxmlformats.org/officeDocument/2006/relationships/hyperlink" Target="http://tuaf.edu.vn/khoacnsh/bai-viet/phan-lap-te-bao-goc-trung-mo-cuong-ron-va-hien-tuong-duong-tinh-gene-cd34-1318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af.edu.vn/khoacnsh/bai-viet/phan-lap-te-bao-goc-trung-mo-cuong-ron-va-hien-tuong-duong-tinh-gene-cd34-13185.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uaf.edu.vn/khoacnsh/bai-viet/phan-lap-te-bao-goc-trung-mo-cuong-ron-va-hien-tuong-duong-tinh-gene-cd34-1318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uaf.edu.vn/khoacnsh/bai-viet/phan-lap-te-bao-goc-trung-mo-cuong-ron-va-hien-tuong-duong-tinh-gene-cd34-13185.html" TargetMode="External"/><Relationship Id="rId23" Type="http://schemas.openxmlformats.org/officeDocument/2006/relationships/hyperlink" Target="http://tuaf.edu.vn/khoacnsh/bai-viet/phan-lap-te-bao-goc-trung-mo-cuong-ron-va-hien-tuong-duong-tinh-gene-cd34-13185.html" TargetMode="External"/><Relationship Id="rId10" Type="http://schemas.openxmlformats.org/officeDocument/2006/relationships/hyperlink" Target="http://tuaf.edu.vn/khoacnsh/bai-viet/phan-lap-te-bao-goc-trung-mo-cuong-ron-va-hien-tuong-duong-tinh-gene-cd34-13185.html" TargetMode="External"/><Relationship Id="rId19" Type="http://schemas.openxmlformats.org/officeDocument/2006/relationships/hyperlink" Target="http://tuaf.edu.vn/khoacnsh/bai-viet/phan-lap-te-bao-goc-trung-mo-cuong-ron-va-hien-tuong-duong-tinh-gene-cd34-1318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uaf.edu.vn/khoacnsh/bai-viet/phan-lap-te-bao-goc-trung-mo-cuong-ron-va-hien-tuong-duong-tinh-gene-cd34-13185.html"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A1A3-BCCC-45B6-AE22-F1ED2B0C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dcterms:created xsi:type="dcterms:W3CDTF">2016-12-29T09:13:00Z</dcterms:created>
  <dcterms:modified xsi:type="dcterms:W3CDTF">2016-12-29T09:13:00Z</dcterms:modified>
</cp:coreProperties>
</file>